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2B" w:rsidRDefault="00EC649B"/>
    <w:p w:rsidR="008A2701" w:rsidRPr="006E4B40" w:rsidRDefault="008A2701" w:rsidP="008A2701">
      <w:pPr>
        <w:spacing w:after="120"/>
        <w:jc w:val="center"/>
        <w:rPr>
          <w:b/>
          <w:sz w:val="28"/>
          <w:szCs w:val="28"/>
        </w:rPr>
      </w:pPr>
      <w:r w:rsidRPr="006E4B40">
        <w:rPr>
          <w:b/>
          <w:sz w:val="28"/>
          <w:szCs w:val="28"/>
        </w:rPr>
        <w:t xml:space="preserve">PHIẾU GÓP Ý VƯỚNG MẮC VÀ ĐỀ XUẤT </w:t>
      </w:r>
    </w:p>
    <w:p w:rsidR="006E4B40" w:rsidRDefault="006E4B40" w:rsidP="008A2701">
      <w:pPr>
        <w:spacing w:after="120"/>
        <w:jc w:val="center"/>
        <w:rPr>
          <w:b/>
          <w:sz w:val="32"/>
          <w:szCs w:val="32"/>
        </w:rPr>
      </w:pPr>
      <w:r>
        <w:rPr>
          <w:b/>
          <w:sz w:val="32"/>
          <w:szCs w:val="32"/>
        </w:rPr>
        <w:t>SỬA ĐỔI, BỔ SUNG, BÃI BỎ, THAY THẾ CÁC THÔNG TƯ DO BỘ NNPTNT BAN HÀNH, LIÊN TỊCH BAN HÀNH</w:t>
      </w:r>
    </w:p>
    <w:p w:rsidR="006E4B40" w:rsidRPr="004C302B" w:rsidRDefault="006E4B40" w:rsidP="008A2701">
      <w:pPr>
        <w:spacing w:after="120"/>
        <w:jc w:val="center"/>
        <w:rPr>
          <w:b/>
          <w:i/>
        </w:rPr>
      </w:pPr>
      <w:r w:rsidRPr="004C302B">
        <w:rPr>
          <w:b/>
          <w:i/>
        </w:rPr>
        <w:t>(theo công văn số 7591/BNN-PC ngày 11/11/2022</w:t>
      </w:r>
      <w:r w:rsidR="004C302B">
        <w:rPr>
          <w:b/>
          <w:i/>
        </w:rPr>
        <w:t xml:space="preserve"> của Bộ NNPTNT</w:t>
      </w:r>
      <w:r w:rsidRPr="004C302B">
        <w:rPr>
          <w:b/>
          <w:i/>
        </w:rPr>
        <w:t>)</w:t>
      </w:r>
    </w:p>
    <w:p w:rsidR="00A42073" w:rsidRDefault="00A42073" w:rsidP="00A42073">
      <w:pPr>
        <w:tabs>
          <w:tab w:val="right" w:leader="dot" w:pos="12960"/>
        </w:tabs>
        <w:spacing w:line="360" w:lineRule="auto"/>
        <w:jc w:val="center"/>
        <w:rPr>
          <w:sz w:val="26"/>
          <w:szCs w:val="26"/>
        </w:rPr>
      </w:pPr>
      <w:r>
        <w:rPr>
          <w:sz w:val="26"/>
          <w:szCs w:val="26"/>
        </w:rPr>
        <w:t>---------o0o----------</w:t>
      </w:r>
    </w:p>
    <w:p w:rsidR="00A42073" w:rsidRDefault="00A42073" w:rsidP="00CE518C">
      <w:pPr>
        <w:spacing w:line="360" w:lineRule="auto"/>
        <w:ind w:firstLine="720"/>
        <w:rPr>
          <w:sz w:val="26"/>
          <w:szCs w:val="26"/>
        </w:rPr>
      </w:pPr>
      <w:r>
        <w:rPr>
          <w:sz w:val="26"/>
          <w:szCs w:val="26"/>
        </w:rPr>
        <w:t>T</w:t>
      </w:r>
      <w:r w:rsidRPr="00A42073">
        <w:rPr>
          <w:sz w:val="26"/>
          <w:szCs w:val="26"/>
        </w:rPr>
        <w:t>heo đề nghị của B</w:t>
      </w:r>
      <w:r>
        <w:rPr>
          <w:sz w:val="26"/>
          <w:szCs w:val="26"/>
        </w:rPr>
        <w:t xml:space="preserve">ộ </w:t>
      </w:r>
      <w:r w:rsidRPr="00A42073">
        <w:rPr>
          <w:sz w:val="26"/>
          <w:szCs w:val="26"/>
        </w:rPr>
        <w:t>NN</w:t>
      </w:r>
      <w:r>
        <w:rPr>
          <w:sz w:val="26"/>
          <w:szCs w:val="26"/>
        </w:rPr>
        <w:t>PTNT</w:t>
      </w:r>
      <w:r w:rsidRPr="00A42073">
        <w:rPr>
          <w:sz w:val="26"/>
          <w:szCs w:val="26"/>
        </w:rPr>
        <w:t xml:space="preserve"> tại</w:t>
      </w:r>
      <w:r>
        <w:rPr>
          <w:sz w:val="26"/>
          <w:szCs w:val="26"/>
        </w:rPr>
        <w:t xml:space="preserve"> công văn 7951/BNN-PC ngày 11/11/2022 về phản ánh vướng mắc, đề xuất sửa đổi bổ sung, bãi bỏ, thay thế các Thông tư do Bộ NNPTNT ban hành, liên tịch ban hành (xin xem tài liệu gắn kèm)</w:t>
      </w:r>
      <w:r w:rsidRPr="00A42073">
        <w:rPr>
          <w:sz w:val="26"/>
          <w:szCs w:val="26"/>
        </w:rPr>
        <w:t xml:space="preserve">, đề nghị các DN rà soát và đề xuất những </w:t>
      </w:r>
      <w:r>
        <w:rPr>
          <w:sz w:val="26"/>
          <w:szCs w:val="26"/>
        </w:rPr>
        <w:t>Thông tư</w:t>
      </w:r>
      <w:r w:rsidRPr="00A42073">
        <w:rPr>
          <w:sz w:val="26"/>
          <w:szCs w:val="26"/>
        </w:rPr>
        <w:t xml:space="preserve"> nào cần xem xét sửa đổi</w:t>
      </w:r>
      <w:r w:rsidR="00CE518C">
        <w:rPr>
          <w:sz w:val="26"/>
          <w:szCs w:val="26"/>
        </w:rPr>
        <w:t>, bổ sung</w:t>
      </w:r>
      <w:r w:rsidRPr="00A42073">
        <w:rPr>
          <w:sz w:val="26"/>
          <w:szCs w:val="26"/>
        </w:rPr>
        <w:t xml:space="preserve"> cho phù hợp theo </w:t>
      </w:r>
      <w:r>
        <w:rPr>
          <w:sz w:val="26"/>
          <w:szCs w:val="26"/>
        </w:rPr>
        <w:t>các thông tin</w:t>
      </w:r>
      <w:r w:rsidRPr="00A42073">
        <w:rPr>
          <w:sz w:val="26"/>
          <w:szCs w:val="26"/>
        </w:rPr>
        <w:t xml:space="preserve"> dưới đây.</w:t>
      </w:r>
      <w:r>
        <w:rPr>
          <w:sz w:val="26"/>
          <w:szCs w:val="26"/>
        </w:rPr>
        <w:t xml:space="preserve"> (Q</w:t>
      </w:r>
      <w:r w:rsidRPr="00A42073">
        <w:rPr>
          <w:sz w:val="26"/>
          <w:szCs w:val="26"/>
        </w:rPr>
        <w:t>ua rà soát sơ bộ</w:t>
      </w:r>
      <w:r>
        <w:rPr>
          <w:sz w:val="26"/>
          <w:szCs w:val="26"/>
        </w:rPr>
        <w:t>,</w:t>
      </w:r>
      <w:r w:rsidRPr="00A42073">
        <w:rPr>
          <w:sz w:val="26"/>
          <w:szCs w:val="26"/>
        </w:rPr>
        <w:t xml:space="preserve"> </w:t>
      </w:r>
      <w:r w:rsidR="00CE518C">
        <w:rPr>
          <w:sz w:val="26"/>
          <w:szCs w:val="26"/>
        </w:rPr>
        <w:t>Văn phòng Hiệp hội</w:t>
      </w:r>
      <w:r>
        <w:rPr>
          <w:sz w:val="26"/>
          <w:szCs w:val="26"/>
        </w:rPr>
        <w:t xml:space="preserve"> tạm thời</w:t>
      </w:r>
      <w:r w:rsidRPr="00A42073">
        <w:rPr>
          <w:sz w:val="26"/>
          <w:szCs w:val="26"/>
        </w:rPr>
        <w:t xml:space="preserve"> liệt kê </w:t>
      </w:r>
      <w:r w:rsidR="00CE518C">
        <w:rPr>
          <w:sz w:val="26"/>
          <w:szCs w:val="26"/>
        </w:rPr>
        <w:t>các</w:t>
      </w:r>
      <w:r>
        <w:rPr>
          <w:sz w:val="26"/>
          <w:szCs w:val="26"/>
        </w:rPr>
        <w:t xml:space="preserve"> </w:t>
      </w:r>
      <w:r w:rsidR="00CE518C">
        <w:rPr>
          <w:sz w:val="26"/>
          <w:szCs w:val="26"/>
        </w:rPr>
        <w:t xml:space="preserve">nội dung </w:t>
      </w:r>
      <w:r>
        <w:rPr>
          <w:sz w:val="26"/>
          <w:szCs w:val="26"/>
        </w:rPr>
        <w:t>vư</w:t>
      </w:r>
      <w:r w:rsidR="00CE518C">
        <w:rPr>
          <w:sz w:val="26"/>
          <w:szCs w:val="26"/>
        </w:rPr>
        <w:t>ớ</w:t>
      </w:r>
      <w:r>
        <w:rPr>
          <w:sz w:val="26"/>
          <w:szCs w:val="26"/>
        </w:rPr>
        <w:t xml:space="preserve">ng mắc tại </w:t>
      </w:r>
      <w:r w:rsidR="00CE518C">
        <w:rPr>
          <w:sz w:val="26"/>
          <w:szCs w:val="26"/>
        </w:rPr>
        <w:t xml:space="preserve">một số Thông tư </w:t>
      </w:r>
      <w:r w:rsidRPr="00A42073">
        <w:rPr>
          <w:sz w:val="26"/>
          <w:szCs w:val="26"/>
        </w:rPr>
        <w:t xml:space="preserve">như </w:t>
      </w:r>
      <w:r w:rsidR="00523B9A">
        <w:rPr>
          <w:sz w:val="26"/>
          <w:szCs w:val="26"/>
        </w:rPr>
        <w:t xml:space="preserve">tại </w:t>
      </w:r>
      <w:r w:rsidR="00CE518C">
        <w:rPr>
          <w:sz w:val="26"/>
          <w:szCs w:val="26"/>
        </w:rPr>
        <w:t xml:space="preserve">bảng </w:t>
      </w:r>
      <w:r w:rsidRPr="00A42073">
        <w:rPr>
          <w:sz w:val="26"/>
          <w:szCs w:val="26"/>
        </w:rPr>
        <w:t>dưới</w:t>
      </w:r>
      <w:r w:rsidR="00CE518C">
        <w:rPr>
          <w:sz w:val="26"/>
          <w:szCs w:val="26"/>
        </w:rPr>
        <w:t xml:space="preserve"> đây)</w:t>
      </w:r>
    </w:p>
    <w:p w:rsidR="00A42073" w:rsidRPr="00CE518C" w:rsidRDefault="00CE518C" w:rsidP="00CE518C">
      <w:pPr>
        <w:pStyle w:val="ListParagraph"/>
        <w:numPr>
          <w:ilvl w:val="0"/>
          <w:numId w:val="8"/>
        </w:numPr>
        <w:spacing w:line="360" w:lineRule="auto"/>
        <w:ind w:left="450" w:hanging="450"/>
        <w:rPr>
          <w:b/>
          <w:sz w:val="26"/>
          <w:szCs w:val="26"/>
        </w:rPr>
      </w:pPr>
      <w:r w:rsidRPr="00CE518C">
        <w:rPr>
          <w:b/>
          <w:sz w:val="26"/>
          <w:szCs w:val="26"/>
        </w:rPr>
        <w:t>THÔNG TIN CỦA ĐƠN VỊ GÓP Ý</w:t>
      </w:r>
    </w:p>
    <w:p w:rsidR="008A2701" w:rsidRPr="00BC3E65" w:rsidRDefault="008A2701" w:rsidP="006E4B40">
      <w:pPr>
        <w:tabs>
          <w:tab w:val="right" w:leader="dot" w:pos="12960"/>
        </w:tabs>
        <w:spacing w:line="360" w:lineRule="auto"/>
        <w:rPr>
          <w:sz w:val="26"/>
          <w:szCs w:val="26"/>
        </w:rPr>
      </w:pPr>
      <w:r w:rsidRPr="00BC3E65">
        <w:rPr>
          <w:sz w:val="26"/>
          <w:szCs w:val="26"/>
        </w:rPr>
        <w:t xml:space="preserve">Đơn vị góp ý: </w:t>
      </w:r>
      <w:r>
        <w:rPr>
          <w:sz w:val="26"/>
          <w:szCs w:val="26"/>
        </w:rPr>
        <w:tab/>
      </w:r>
    </w:p>
    <w:p w:rsidR="008A2701" w:rsidRPr="00BC3E65" w:rsidRDefault="008A2701" w:rsidP="006E4B40">
      <w:pPr>
        <w:tabs>
          <w:tab w:val="right" w:leader="dot" w:pos="12960"/>
        </w:tabs>
        <w:spacing w:line="360" w:lineRule="auto"/>
        <w:rPr>
          <w:sz w:val="26"/>
          <w:szCs w:val="26"/>
        </w:rPr>
      </w:pPr>
      <w:r w:rsidRPr="00BC3E65">
        <w:rPr>
          <w:sz w:val="26"/>
          <w:szCs w:val="26"/>
        </w:rPr>
        <w:t>Địa chỉ liên hệ:</w:t>
      </w:r>
      <w:r>
        <w:rPr>
          <w:sz w:val="26"/>
          <w:szCs w:val="26"/>
        </w:rPr>
        <w:t xml:space="preserve"> </w:t>
      </w:r>
      <w:r w:rsidRPr="00BC3E65">
        <w:rPr>
          <w:sz w:val="26"/>
          <w:szCs w:val="26"/>
        </w:rPr>
        <w:t>.</w:t>
      </w:r>
      <w:r>
        <w:rPr>
          <w:sz w:val="26"/>
          <w:szCs w:val="26"/>
        </w:rPr>
        <w:tab/>
      </w:r>
    </w:p>
    <w:p w:rsidR="008A2701" w:rsidRDefault="008A2701" w:rsidP="006E4B40">
      <w:pPr>
        <w:tabs>
          <w:tab w:val="right" w:leader="dot" w:pos="12960"/>
        </w:tabs>
        <w:spacing w:line="360" w:lineRule="auto"/>
        <w:rPr>
          <w:sz w:val="26"/>
          <w:szCs w:val="26"/>
        </w:rPr>
      </w:pPr>
      <w:r>
        <w:rPr>
          <w:sz w:val="26"/>
          <w:szCs w:val="26"/>
        </w:rPr>
        <w:t xml:space="preserve">Người góp ý:  …………………………………  Vị trí công tác: </w:t>
      </w:r>
      <w:r>
        <w:rPr>
          <w:sz w:val="26"/>
          <w:szCs w:val="26"/>
        </w:rPr>
        <w:tab/>
        <w:t xml:space="preserve">          </w:t>
      </w:r>
    </w:p>
    <w:p w:rsidR="008A2701" w:rsidRDefault="008A2701" w:rsidP="006E4B40">
      <w:pPr>
        <w:tabs>
          <w:tab w:val="right" w:leader="dot" w:pos="12960"/>
        </w:tabs>
        <w:spacing w:line="360" w:lineRule="auto"/>
        <w:rPr>
          <w:sz w:val="26"/>
          <w:szCs w:val="26"/>
        </w:rPr>
      </w:pPr>
      <w:r>
        <w:rPr>
          <w:sz w:val="26"/>
          <w:szCs w:val="26"/>
        </w:rPr>
        <w:t xml:space="preserve">Tel:  …………………………………………...   </w:t>
      </w:r>
      <w:r w:rsidRPr="00BC3E65">
        <w:rPr>
          <w:sz w:val="26"/>
          <w:szCs w:val="26"/>
        </w:rPr>
        <w:t xml:space="preserve">Email: </w:t>
      </w:r>
      <w:r>
        <w:rPr>
          <w:sz w:val="26"/>
          <w:szCs w:val="26"/>
        </w:rPr>
        <w:tab/>
      </w:r>
    </w:p>
    <w:p w:rsidR="008A2701" w:rsidRDefault="008A2701" w:rsidP="00CE518C">
      <w:pPr>
        <w:pStyle w:val="ListParagraph"/>
        <w:numPr>
          <w:ilvl w:val="0"/>
          <w:numId w:val="8"/>
        </w:numPr>
        <w:spacing w:line="360" w:lineRule="auto"/>
        <w:ind w:left="450" w:hanging="450"/>
        <w:rPr>
          <w:b/>
          <w:sz w:val="26"/>
          <w:szCs w:val="26"/>
        </w:rPr>
      </w:pPr>
      <w:r>
        <w:rPr>
          <w:b/>
          <w:sz w:val="26"/>
          <w:szCs w:val="26"/>
        </w:rPr>
        <w:t xml:space="preserve">ĐỀ NGHỊ ĐIỀU CHỈNH, BỔ SUNG: </w:t>
      </w:r>
    </w:p>
    <w:p w:rsidR="005719EC" w:rsidRPr="00241EF3" w:rsidRDefault="005719EC" w:rsidP="004F6EF7">
      <w:pPr>
        <w:spacing w:line="360" w:lineRule="auto"/>
      </w:pPr>
      <w:bookmarkStart w:id="0" w:name="_GoBack"/>
      <w:bookmarkEnd w:id="0"/>
    </w:p>
    <w:tbl>
      <w:tblPr>
        <w:tblW w:w="13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97"/>
        <w:gridCol w:w="4680"/>
        <w:gridCol w:w="4230"/>
        <w:gridCol w:w="1980"/>
      </w:tblGrid>
      <w:tr w:rsidR="00D94DF8" w:rsidRPr="001C3F9F" w:rsidTr="001C3F9F">
        <w:trPr>
          <w:trHeight w:val="491"/>
          <w:tblHeader/>
        </w:trPr>
        <w:tc>
          <w:tcPr>
            <w:tcW w:w="567" w:type="dxa"/>
            <w:shd w:val="clear" w:color="auto" w:fill="BFBFBF" w:themeFill="background1" w:themeFillShade="BF"/>
            <w:vAlign w:val="center"/>
          </w:tcPr>
          <w:p w:rsidR="008A2701" w:rsidRPr="001C3F9F" w:rsidRDefault="008A2701" w:rsidP="001C3F9F">
            <w:pPr>
              <w:jc w:val="center"/>
              <w:rPr>
                <w:b/>
              </w:rPr>
            </w:pPr>
            <w:r w:rsidRPr="001C3F9F">
              <w:rPr>
                <w:b/>
              </w:rPr>
              <w:t>TT</w:t>
            </w:r>
          </w:p>
        </w:tc>
        <w:tc>
          <w:tcPr>
            <w:tcW w:w="2497" w:type="dxa"/>
            <w:shd w:val="clear" w:color="auto" w:fill="BFBFBF" w:themeFill="background1" w:themeFillShade="BF"/>
            <w:vAlign w:val="center"/>
          </w:tcPr>
          <w:p w:rsidR="008A2701" w:rsidRPr="001C3F9F" w:rsidRDefault="006E4B40" w:rsidP="001C3F9F">
            <w:pPr>
              <w:jc w:val="center"/>
              <w:rPr>
                <w:b/>
              </w:rPr>
            </w:pPr>
            <w:r w:rsidRPr="001C3F9F">
              <w:rPr>
                <w:b/>
              </w:rPr>
              <w:t>Thông tư của Bộ NNPTNT</w:t>
            </w:r>
            <w:r w:rsidR="005C2B72" w:rsidRPr="001C3F9F">
              <w:rPr>
                <w:b/>
              </w:rPr>
              <w:t xml:space="preserve"> </w:t>
            </w:r>
          </w:p>
        </w:tc>
        <w:tc>
          <w:tcPr>
            <w:tcW w:w="4680" w:type="dxa"/>
            <w:shd w:val="clear" w:color="auto" w:fill="BFBFBF" w:themeFill="background1" w:themeFillShade="BF"/>
            <w:vAlign w:val="center"/>
          </w:tcPr>
          <w:p w:rsidR="008A2701" w:rsidRPr="001C3F9F" w:rsidRDefault="006E4B40" w:rsidP="001C3F9F">
            <w:pPr>
              <w:jc w:val="center"/>
              <w:rPr>
                <w:b/>
                <w:lang w:val="it-IT"/>
              </w:rPr>
            </w:pPr>
            <w:r w:rsidRPr="001C3F9F">
              <w:rPr>
                <w:b/>
              </w:rPr>
              <w:t>Nội dung vướng mắc</w:t>
            </w:r>
          </w:p>
        </w:tc>
        <w:tc>
          <w:tcPr>
            <w:tcW w:w="4230" w:type="dxa"/>
            <w:shd w:val="clear" w:color="auto" w:fill="BFBFBF" w:themeFill="background1" w:themeFillShade="BF"/>
            <w:vAlign w:val="center"/>
          </w:tcPr>
          <w:p w:rsidR="008A2701" w:rsidRPr="001C3F9F" w:rsidRDefault="008A2701" w:rsidP="001C3F9F">
            <w:pPr>
              <w:jc w:val="center"/>
              <w:rPr>
                <w:b/>
                <w:lang w:val="it-IT"/>
              </w:rPr>
            </w:pPr>
            <w:r w:rsidRPr="001C3F9F">
              <w:rPr>
                <w:b/>
                <w:lang w:val="it-IT"/>
              </w:rPr>
              <w:t>Đề nghị điều chỉnh, bổ sung</w:t>
            </w:r>
          </w:p>
        </w:tc>
        <w:tc>
          <w:tcPr>
            <w:tcW w:w="1980" w:type="dxa"/>
            <w:shd w:val="clear" w:color="auto" w:fill="BFBFBF" w:themeFill="background1" w:themeFillShade="BF"/>
            <w:vAlign w:val="center"/>
          </w:tcPr>
          <w:p w:rsidR="008A2701" w:rsidRPr="001C3F9F" w:rsidRDefault="00F86C1E" w:rsidP="001C3F9F">
            <w:pPr>
              <w:jc w:val="center"/>
              <w:rPr>
                <w:b/>
                <w:lang w:val="it-IT"/>
              </w:rPr>
            </w:pPr>
            <w:r w:rsidRPr="001C3F9F">
              <w:rPr>
                <w:b/>
                <w:lang w:val="it-IT"/>
              </w:rPr>
              <w:t>Ghi chú</w:t>
            </w:r>
          </w:p>
        </w:tc>
      </w:tr>
      <w:tr w:rsidR="008A2701" w:rsidRPr="001C3F9F" w:rsidTr="001C3F9F">
        <w:trPr>
          <w:trHeight w:val="491"/>
        </w:trPr>
        <w:tc>
          <w:tcPr>
            <w:tcW w:w="567" w:type="dxa"/>
            <w:shd w:val="clear" w:color="auto" w:fill="auto"/>
            <w:vAlign w:val="center"/>
          </w:tcPr>
          <w:p w:rsidR="008A2701" w:rsidRPr="001C3F9F" w:rsidRDefault="006E4B40" w:rsidP="001C3F9F">
            <w:pPr>
              <w:jc w:val="center"/>
            </w:pPr>
            <w:r w:rsidRPr="001C3F9F">
              <w:t>1</w:t>
            </w:r>
          </w:p>
        </w:tc>
        <w:tc>
          <w:tcPr>
            <w:tcW w:w="2497" w:type="dxa"/>
            <w:shd w:val="clear" w:color="auto" w:fill="auto"/>
          </w:tcPr>
          <w:p w:rsidR="008A2701" w:rsidRPr="001C3F9F" w:rsidRDefault="00F86C1E" w:rsidP="001C3F9F">
            <w:r w:rsidRPr="001C3F9F">
              <w:rPr>
                <w:b/>
              </w:rPr>
              <w:t>Thông tư 21/2018/TT-BNNPTNT</w:t>
            </w:r>
            <w:r w:rsidRPr="001C3F9F">
              <w:t xml:space="preserve"> ngày 15/11/2018 </w:t>
            </w:r>
            <w:bookmarkStart w:id="1" w:name="loai_1_name"/>
            <w:r w:rsidRPr="001C3F9F">
              <w:t xml:space="preserve">quy định ghi, nộp báo cáo, nhật ký khai thác TS; công bố cảng cá chỉ định xác nhận nguồn gốc TS từ </w:t>
            </w:r>
            <w:r w:rsidRPr="001C3F9F">
              <w:lastRenderedPageBreak/>
              <w:t xml:space="preserve">KT; danh sách tàu cá khai TS bất hợp pháp; xác nhận nguyên liệu, chứng nhận nguồn gốc </w:t>
            </w:r>
            <w:bookmarkEnd w:id="1"/>
            <w:r w:rsidRPr="001C3F9F">
              <w:t>TS KT</w:t>
            </w:r>
          </w:p>
        </w:tc>
        <w:tc>
          <w:tcPr>
            <w:tcW w:w="4680" w:type="dxa"/>
            <w:shd w:val="clear" w:color="auto" w:fill="auto"/>
          </w:tcPr>
          <w:p w:rsidR="008A2701" w:rsidRPr="001C3F9F" w:rsidRDefault="0087409C" w:rsidP="001C3F9F">
            <w:pPr>
              <w:ind w:left="76" w:hanging="76"/>
            </w:pPr>
            <w:r w:rsidRPr="001C3F9F">
              <w:rPr>
                <w:shd w:val="clear" w:color="auto" w:fill="FFFFFF"/>
              </w:rPr>
              <w:lastRenderedPageBreak/>
              <w:t xml:space="preserve">Thông tư chưa có các quy định về </w:t>
            </w:r>
            <w:r w:rsidRPr="001C3F9F">
              <w:t>c</w:t>
            </w:r>
            <w:r w:rsidR="00F86C1E" w:rsidRPr="001C3F9F">
              <w:t xml:space="preserve">ác vấn đề phát sinh </w:t>
            </w:r>
            <w:r w:rsidRPr="001C3F9F">
              <w:t>liên quan đến</w:t>
            </w:r>
            <w:r w:rsidR="00F86C1E" w:rsidRPr="001C3F9F">
              <w:t xml:space="preserve"> cơ chế hồ sơ khai thác </w:t>
            </w:r>
            <w:r w:rsidRPr="001C3F9F">
              <w:t>TS</w:t>
            </w:r>
            <w:r w:rsidR="00F86C1E" w:rsidRPr="001C3F9F">
              <w:t xml:space="preserve"> của Nhật Bản</w:t>
            </w:r>
            <w:r w:rsidR="004573FA" w:rsidRPr="001C3F9F">
              <w:t xml:space="preserve">: </w:t>
            </w:r>
          </w:p>
          <w:p w:rsidR="004573FA" w:rsidRPr="001C3F9F" w:rsidRDefault="004573FA" w:rsidP="001C3F9F">
            <w:pPr>
              <w:pStyle w:val="ListParagraph"/>
              <w:numPr>
                <w:ilvl w:val="0"/>
                <w:numId w:val="1"/>
              </w:numPr>
              <w:ind w:left="348"/>
              <w:rPr>
                <w:shd w:val="clear" w:color="auto" w:fill="FFFFFF"/>
              </w:rPr>
            </w:pPr>
            <w:r w:rsidRPr="001C3F9F">
              <w:rPr>
                <w:b/>
                <w:i/>
                <w:shd w:val="clear" w:color="auto" w:fill="FFFFFF"/>
              </w:rPr>
              <w:t>Về thời gian áp dụng chứng nhận từ ngày 01/12/2022</w:t>
            </w:r>
            <w:r w:rsidRPr="001C3F9F">
              <w:rPr>
                <w:shd w:val="clear" w:color="auto" w:fill="FFFFFF"/>
              </w:rPr>
              <w:t xml:space="preserve">: chưa có quy định thời gian áp dụng được tính theo ngày lô </w:t>
            </w:r>
            <w:r w:rsidRPr="001C3F9F">
              <w:rPr>
                <w:shd w:val="clear" w:color="auto" w:fill="FFFFFF"/>
              </w:rPr>
              <w:lastRenderedPageBreak/>
              <w:t>nguyên liệu hải sản được đánh bắt, hay ngày xuất khẩu sản phẩm từ Việt Nam</w:t>
            </w:r>
          </w:p>
          <w:p w:rsidR="004573FA" w:rsidRPr="001C3F9F" w:rsidRDefault="004573FA" w:rsidP="001C3F9F">
            <w:pPr>
              <w:pStyle w:val="ListParagraph"/>
              <w:numPr>
                <w:ilvl w:val="0"/>
                <w:numId w:val="1"/>
              </w:numPr>
              <w:ind w:left="348"/>
            </w:pPr>
            <w:r w:rsidRPr="001C3F9F">
              <w:rPr>
                <w:b/>
                <w:i/>
                <w:color w:val="001A33"/>
                <w:shd w:val="clear" w:color="auto" w:fill="FFFFFF"/>
              </w:rPr>
              <w:t xml:space="preserve">Về các lô nguyên liệu </w:t>
            </w:r>
            <w:r w:rsidR="003208A2" w:rsidRPr="001C3F9F">
              <w:rPr>
                <w:b/>
                <w:i/>
                <w:color w:val="001A33"/>
                <w:shd w:val="clear" w:color="auto" w:fill="FFFFFF"/>
              </w:rPr>
              <w:t xml:space="preserve">NK </w:t>
            </w:r>
            <w:r w:rsidRPr="001C3F9F">
              <w:rPr>
                <w:b/>
                <w:i/>
                <w:color w:val="001A33"/>
                <w:shd w:val="clear" w:color="auto" w:fill="FFFFFF"/>
              </w:rPr>
              <w:t xml:space="preserve">trước ngày 01/12/2022: </w:t>
            </w:r>
            <w:r w:rsidRPr="001C3F9F">
              <w:rPr>
                <w:color w:val="001A33"/>
                <w:shd w:val="clear" w:color="auto" w:fill="FFFFFF"/>
              </w:rPr>
              <w:t>chưa có quy định về các lô hàng SX từ nguyên liệu</w:t>
            </w:r>
            <w:r w:rsidRPr="001C3F9F">
              <w:rPr>
                <w:b/>
                <w:i/>
                <w:color w:val="001A33"/>
                <w:shd w:val="clear" w:color="auto" w:fill="FFFFFF"/>
              </w:rPr>
              <w:t xml:space="preserve"> </w:t>
            </w:r>
            <w:r w:rsidRPr="001C3F9F">
              <w:rPr>
                <w:color w:val="001A33"/>
                <w:shd w:val="clear" w:color="auto" w:fill="FFFFFF"/>
              </w:rPr>
              <w:t>NK tồn kho chưa có C/C</w:t>
            </w:r>
          </w:p>
          <w:p w:rsidR="004573FA" w:rsidRPr="001C3F9F" w:rsidRDefault="004573FA" w:rsidP="001C3F9F">
            <w:pPr>
              <w:pStyle w:val="ListParagraph"/>
              <w:numPr>
                <w:ilvl w:val="0"/>
                <w:numId w:val="1"/>
              </w:numPr>
              <w:ind w:left="348"/>
            </w:pPr>
            <w:r w:rsidRPr="001C3F9F">
              <w:rPr>
                <w:b/>
                <w:i/>
                <w:color w:val="001A33"/>
                <w:shd w:val="clear" w:color="auto" w:fill="FFFFFF"/>
              </w:rPr>
              <w:t xml:space="preserve">Thủ tục cấp “Xác nhận chế biến - Processing statement”: </w:t>
            </w:r>
            <w:r w:rsidRPr="001C3F9F">
              <w:rPr>
                <w:color w:val="001A33"/>
                <w:shd w:val="clear" w:color="auto" w:fill="FFFFFF"/>
              </w:rPr>
              <w:t>chưa có quy định</w:t>
            </w:r>
            <w:r w:rsidRPr="001C3F9F">
              <w:rPr>
                <w:b/>
                <w:i/>
                <w:color w:val="001A33"/>
                <w:shd w:val="clear" w:color="auto" w:fill="FFFFFF"/>
              </w:rPr>
              <w:t xml:space="preserve"> </w:t>
            </w:r>
            <w:r w:rsidRPr="001C3F9F">
              <w:rPr>
                <w:color w:val="001A33"/>
                <w:shd w:val="clear" w:color="auto" w:fill="FFFFFF"/>
              </w:rPr>
              <w:t xml:space="preserve">với trường hợp </w:t>
            </w:r>
            <w:r w:rsidR="003208A2" w:rsidRPr="001C3F9F">
              <w:rPr>
                <w:color w:val="001A33"/>
                <w:shd w:val="clear" w:color="auto" w:fill="FFFFFF"/>
              </w:rPr>
              <w:t>l</w:t>
            </w:r>
            <w:r w:rsidRPr="001C3F9F">
              <w:rPr>
                <w:color w:val="001A33"/>
                <w:shd w:val="clear" w:color="auto" w:fill="FFFFFF"/>
              </w:rPr>
              <w:t xml:space="preserve">ô hàng </w:t>
            </w:r>
            <w:r w:rsidR="003208A2" w:rsidRPr="001C3F9F">
              <w:rPr>
                <w:color w:val="001A33"/>
                <w:shd w:val="clear" w:color="auto" w:fill="FFFFFF"/>
              </w:rPr>
              <w:t xml:space="preserve">NK </w:t>
            </w:r>
            <w:r w:rsidRPr="001C3F9F">
              <w:rPr>
                <w:color w:val="001A33"/>
                <w:shd w:val="clear" w:color="auto" w:fill="FFFFFF"/>
              </w:rPr>
              <w:t xml:space="preserve">vào Nhật Bản sau ngày 01/12 có sử dụng 1 phần nguyên liệu </w:t>
            </w:r>
            <w:r w:rsidR="003208A2" w:rsidRPr="001C3F9F">
              <w:rPr>
                <w:color w:val="001A33"/>
                <w:shd w:val="clear" w:color="auto" w:fill="FFFFFF"/>
              </w:rPr>
              <w:t xml:space="preserve">NK </w:t>
            </w:r>
            <w:r w:rsidRPr="001C3F9F">
              <w:rPr>
                <w:color w:val="001A33"/>
                <w:shd w:val="clear" w:color="auto" w:fill="FFFFFF"/>
              </w:rPr>
              <w:t>đánh bắt trước ngày 01/12 (không có C/C) và 1 phần nguyên liệu đánh bắt sau ngày 01/12 (có C/C)</w:t>
            </w:r>
          </w:p>
          <w:p w:rsidR="003208A2" w:rsidRPr="001C3F9F" w:rsidRDefault="003208A2" w:rsidP="001C3F9F">
            <w:pPr>
              <w:pStyle w:val="ListParagraph"/>
              <w:numPr>
                <w:ilvl w:val="0"/>
                <w:numId w:val="1"/>
              </w:numPr>
              <w:ind w:left="348"/>
            </w:pPr>
            <w:r w:rsidRPr="001C3F9F">
              <w:rPr>
                <w:b/>
                <w:i/>
                <w:color w:val="001A33"/>
                <w:shd w:val="clear" w:color="auto" w:fill="FFFFFF"/>
              </w:rPr>
              <w:t>Xác nhận chế biến - Processing statement</w:t>
            </w:r>
            <w:r w:rsidRPr="001C3F9F">
              <w:rPr>
                <w:color w:val="001A33"/>
                <w:shd w:val="clear" w:color="auto" w:fill="FFFFFF"/>
              </w:rPr>
              <w:t xml:space="preserve">: </w:t>
            </w:r>
            <w:r w:rsidRPr="001C3F9F">
              <w:rPr>
                <w:shd w:val="clear" w:color="auto" w:fill="FFFFFF"/>
              </w:rPr>
              <w:t>chưa có quy định trong trường hợp của Nhật Bản (không yêu cầu H/C, chỉ yêu cầu Xác nhận CB)</w:t>
            </w:r>
          </w:p>
          <w:p w:rsidR="00E719D1" w:rsidRPr="001C3F9F" w:rsidRDefault="00E719D1" w:rsidP="001C3F9F">
            <w:pPr>
              <w:pStyle w:val="ListParagraph"/>
              <w:numPr>
                <w:ilvl w:val="0"/>
                <w:numId w:val="1"/>
              </w:numPr>
              <w:ind w:left="348"/>
            </w:pPr>
            <w:r w:rsidRPr="001C3F9F">
              <w:rPr>
                <w:b/>
                <w:i/>
                <w:color w:val="001A33"/>
                <w:shd w:val="clear" w:color="auto" w:fill="FFFFFF"/>
              </w:rPr>
              <w:t>Chưa quy định CQTQ nào của Việt Nam phụ trách cấp các giấy tờ liên quan</w:t>
            </w:r>
          </w:p>
          <w:p w:rsidR="00E719D1" w:rsidRPr="001C3F9F" w:rsidRDefault="00E719D1" w:rsidP="001C3F9F">
            <w:pPr>
              <w:pStyle w:val="ListParagraph"/>
              <w:numPr>
                <w:ilvl w:val="0"/>
                <w:numId w:val="1"/>
              </w:numPr>
              <w:ind w:left="348"/>
            </w:pPr>
            <w:r w:rsidRPr="001C3F9F">
              <w:rPr>
                <w:b/>
                <w:i/>
                <w:color w:val="001A33"/>
                <w:shd w:val="clear" w:color="auto" w:fill="FFFFFF"/>
              </w:rPr>
              <w:t xml:space="preserve">Chưa quy định </w:t>
            </w:r>
            <w:r w:rsidRPr="001C3F9F">
              <w:rPr>
                <w:color w:val="001A33"/>
                <w:shd w:val="clear" w:color="auto" w:fill="FFFFFF"/>
              </w:rPr>
              <w:t>lô hàng trả lại Nhật Bản có phải thực hiện các quy định mới của Nhật không?</w:t>
            </w:r>
          </w:p>
          <w:p w:rsidR="0087409C" w:rsidRPr="001C3F9F" w:rsidRDefault="0087409C" w:rsidP="001C3F9F">
            <w:pPr>
              <w:pStyle w:val="ListParagraph"/>
              <w:numPr>
                <w:ilvl w:val="0"/>
                <w:numId w:val="1"/>
              </w:numPr>
              <w:ind w:left="348"/>
            </w:pPr>
            <w:r w:rsidRPr="001C3F9F">
              <w:rPr>
                <w:b/>
                <w:i/>
              </w:rPr>
              <w:t xml:space="preserve">Cột “Processed fishery products (kgs)” trong form mẫu processing Statement và C/C: </w:t>
            </w:r>
            <w:r w:rsidRPr="001C3F9F">
              <w:t xml:space="preserve">ghi theo </w:t>
            </w:r>
            <w:r w:rsidRPr="001C3F9F">
              <w:rPr>
                <w:u w:val="single"/>
              </w:rPr>
              <w:t>Net weight</w:t>
            </w:r>
            <w:r w:rsidRPr="001C3F9F">
              <w:t xml:space="preserve"> hay </w:t>
            </w:r>
            <w:r w:rsidRPr="001C3F9F">
              <w:rPr>
                <w:u w:val="single"/>
              </w:rPr>
              <w:t>drain weight</w:t>
            </w:r>
          </w:p>
        </w:tc>
        <w:tc>
          <w:tcPr>
            <w:tcW w:w="4230" w:type="dxa"/>
            <w:shd w:val="clear" w:color="auto" w:fill="auto"/>
          </w:tcPr>
          <w:p w:rsidR="008A2701" w:rsidRPr="001C3F9F" w:rsidRDefault="0087409C" w:rsidP="001C3F9F">
            <w:r w:rsidRPr="001C3F9F">
              <w:lastRenderedPageBreak/>
              <w:t xml:space="preserve">Trao đổi với phía Nhật Bản để làm rõ các thông tin và ban hành Thông tư bổ sung, sửa đổi Thông tư 21/2018/TT-BNNPTNT để hướng dẫn các nội dung vướng mắc </w:t>
            </w:r>
          </w:p>
        </w:tc>
        <w:tc>
          <w:tcPr>
            <w:tcW w:w="1980" w:type="dxa"/>
            <w:shd w:val="clear" w:color="auto" w:fill="auto"/>
          </w:tcPr>
          <w:p w:rsidR="008A2701" w:rsidRPr="001C3F9F" w:rsidRDefault="00F86C1E" w:rsidP="001C3F9F">
            <w:pPr>
              <w:rPr>
                <w:lang w:val="it-IT"/>
              </w:rPr>
            </w:pPr>
            <w:r w:rsidRPr="001C3F9F">
              <w:rPr>
                <w:lang w:val="it-IT"/>
              </w:rPr>
              <w:t>Hiệp hội đã có công văn 39/</w:t>
            </w:r>
            <w:r w:rsidRPr="001C3F9F">
              <w:t xml:space="preserve">/VASEP-VPĐD ngày 21/10/2022 kiến nghị giải quyết </w:t>
            </w:r>
            <w:r w:rsidRPr="001C3F9F">
              <w:lastRenderedPageBreak/>
              <w:t>các vướng mắc này</w:t>
            </w:r>
          </w:p>
        </w:tc>
      </w:tr>
      <w:tr w:rsidR="001C3F9F" w:rsidRPr="001C3F9F" w:rsidTr="001C3F9F">
        <w:trPr>
          <w:trHeight w:val="491"/>
        </w:trPr>
        <w:tc>
          <w:tcPr>
            <w:tcW w:w="567" w:type="dxa"/>
            <w:shd w:val="clear" w:color="auto" w:fill="auto"/>
            <w:vAlign w:val="center"/>
          </w:tcPr>
          <w:p w:rsidR="007661E3" w:rsidRPr="001C3F9F" w:rsidRDefault="007661E3" w:rsidP="001C3F9F">
            <w:pPr>
              <w:jc w:val="center"/>
            </w:pPr>
            <w:r w:rsidRPr="001C3F9F">
              <w:lastRenderedPageBreak/>
              <w:t>2</w:t>
            </w:r>
          </w:p>
        </w:tc>
        <w:tc>
          <w:tcPr>
            <w:tcW w:w="2497" w:type="dxa"/>
            <w:shd w:val="clear" w:color="auto" w:fill="auto"/>
          </w:tcPr>
          <w:p w:rsidR="007661E3" w:rsidRPr="001C3F9F" w:rsidRDefault="007661E3" w:rsidP="001C3F9F">
            <w:pPr>
              <w:rPr>
                <w:shd w:val="clear" w:color="auto" w:fill="FFFFFF"/>
              </w:rPr>
            </w:pPr>
            <w:r w:rsidRPr="001C3F9F">
              <w:rPr>
                <w:b/>
                <w:shd w:val="clear" w:color="auto" w:fill="FFFFFF"/>
              </w:rPr>
              <w:t>Thông tư 11/2021/TT-BNNPTNT</w:t>
            </w:r>
            <w:r w:rsidRPr="001C3F9F">
              <w:rPr>
                <w:shd w:val="clear" w:color="auto" w:fill="FFFFFF"/>
              </w:rPr>
              <w:t xml:space="preserve"> ngày 20/09/2021 về bảng mã số HS đối với danh mục hàng hóa thuộc thẩm quyền QLNN của Bộ NNPTNT và danh mục hàng hóa XNK phải kiểm tra chuyên </w:t>
            </w:r>
            <w:r w:rsidRPr="001C3F9F">
              <w:rPr>
                <w:shd w:val="clear" w:color="auto" w:fill="FFFFFF"/>
              </w:rPr>
              <w:lastRenderedPageBreak/>
              <w:t>ngành trong lĩnh vực NNPTNT</w:t>
            </w:r>
          </w:p>
        </w:tc>
        <w:tc>
          <w:tcPr>
            <w:tcW w:w="4680" w:type="dxa"/>
            <w:shd w:val="clear" w:color="auto" w:fill="auto"/>
          </w:tcPr>
          <w:p w:rsidR="007661E3" w:rsidRPr="001C3F9F" w:rsidRDefault="007661E3" w:rsidP="001C3F9F">
            <w:pPr>
              <w:pStyle w:val="ListParagraph"/>
              <w:numPr>
                <w:ilvl w:val="0"/>
                <w:numId w:val="2"/>
              </w:numPr>
              <w:ind w:left="342"/>
            </w:pPr>
            <w:r w:rsidRPr="001C3F9F">
              <w:rPr>
                <w:lang w:val="nb-NO"/>
              </w:rPr>
              <w:lastRenderedPageBreak/>
              <w:t xml:space="preserve">Có sự trùng lắp của các dòng hàng thuộc </w:t>
            </w:r>
            <w:r w:rsidRPr="001C3F9F">
              <w:rPr>
                <w:lang w:val="vi-VN"/>
              </w:rPr>
              <w:t>n</w:t>
            </w:r>
            <w:r w:rsidRPr="001C3F9F">
              <w:rPr>
                <w:lang w:val="nb-NO"/>
              </w:rPr>
              <w:t>hóm 15.04 tại Phụ lục II: 4 mã HS của Nhóm này (1504.10.20, 1504.10.90, 1504.20.10, 1504.20.90) được liệt kê tới 2 lần: lần 1 (hạng mục 221 – 224) thì chỉ chịu kiểm dịch, lần 2 (hạng mục 707 – 710) lại chịu kiểm tra ATTP.</w:t>
            </w:r>
          </w:p>
          <w:p w:rsidR="007661E3" w:rsidRPr="001C3F9F" w:rsidRDefault="007661E3" w:rsidP="001C3F9F">
            <w:pPr>
              <w:pStyle w:val="ListParagraph"/>
              <w:numPr>
                <w:ilvl w:val="0"/>
                <w:numId w:val="2"/>
              </w:numPr>
              <w:ind w:left="342"/>
            </w:pPr>
            <w:r w:rsidRPr="001C3F9F">
              <w:lastRenderedPageBreak/>
              <w:t>C</w:t>
            </w:r>
            <w:r w:rsidRPr="001C3F9F">
              <w:rPr>
                <w:lang w:val="vi-VN"/>
              </w:rPr>
              <w:t>ác mặt hàng chế biến</w:t>
            </w:r>
            <w:r w:rsidRPr="001C3F9F">
              <w:t xml:space="preserve"> thuộc nhóm 0303, 0304, 0306, 0307, 0308, 1604, 1605 vẫn phải chịu cả kiểm dịch và kiểm tra ATTP</w:t>
            </w:r>
          </w:p>
        </w:tc>
        <w:tc>
          <w:tcPr>
            <w:tcW w:w="4230" w:type="dxa"/>
            <w:shd w:val="clear" w:color="auto" w:fill="auto"/>
          </w:tcPr>
          <w:p w:rsidR="007661E3" w:rsidRPr="001C3F9F" w:rsidRDefault="007661E3" w:rsidP="001C3F9F">
            <w:pPr>
              <w:pStyle w:val="ListParagraph"/>
              <w:numPr>
                <w:ilvl w:val="0"/>
                <w:numId w:val="3"/>
              </w:numPr>
              <w:rPr>
                <w:lang w:val="it-IT"/>
              </w:rPr>
            </w:pPr>
            <w:r w:rsidRPr="001C3F9F">
              <w:rPr>
                <w:lang w:val="it-IT"/>
              </w:rPr>
              <w:lastRenderedPageBreak/>
              <w:t>Kiểm tra để loại bỏ sự trùng lắp của các hạng mục</w:t>
            </w:r>
          </w:p>
          <w:p w:rsidR="007661E3" w:rsidRPr="001C3F9F" w:rsidRDefault="007661E3" w:rsidP="001C3F9F">
            <w:pPr>
              <w:pStyle w:val="ListParagraph"/>
              <w:numPr>
                <w:ilvl w:val="0"/>
                <w:numId w:val="3"/>
              </w:numPr>
              <w:rPr>
                <w:lang w:val="it-IT"/>
              </w:rPr>
            </w:pPr>
            <w:r w:rsidRPr="001C3F9F">
              <w:t>Đ</w:t>
            </w:r>
            <w:r w:rsidRPr="001C3F9F">
              <w:rPr>
                <w:lang w:val="vi-VN"/>
              </w:rPr>
              <w:t>ối với các mặt hàng chế biến</w:t>
            </w:r>
            <w:r w:rsidRPr="001C3F9F">
              <w:t>:</w:t>
            </w:r>
            <w:r w:rsidRPr="001C3F9F">
              <w:rPr>
                <w:lang w:val="vi-VN"/>
              </w:rPr>
              <w:t xml:space="preserve"> </w:t>
            </w:r>
            <w:r w:rsidRPr="001C3F9F">
              <w:t>c</w:t>
            </w:r>
            <w:r w:rsidRPr="001C3F9F">
              <w:rPr>
                <w:lang w:val="vi-VN"/>
              </w:rPr>
              <w:t xml:space="preserve">hỉ thực hiện kiểm tra an toàn thực phẩm (ATTP) theo các nguyên tắc của Codex và quy định pháp luật có liên quan ATTP </w:t>
            </w:r>
          </w:p>
          <w:p w:rsidR="007661E3" w:rsidRPr="001C3F9F" w:rsidRDefault="007661E3" w:rsidP="001C3F9F">
            <w:pPr>
              <w:pStyle w:val="ListParagraph"/>
              <w:numPr>
                <w:ilvl w:val="0"/>
                <w:numId w:val="3"/>
              </w:numPr>
              <w:rPr>
                <w:lang w:val="it-IT"/>
              </w:rPr>
            </w:pPr>
            <w:r w:rsidRPr="001C3F9F">
              <w:rPr>
                <w:rStyle w:val="fontstyle01"/>
                <w:sz w:val="24"/>
                <w:szCs w:val="24"/>
              </w:rPr>
              <w:t>Đối với</w:t>
            </w:r>
            <w:r w:rsidRPr="001C3F9F">
              <w:rPr>
                <w:rStyle w:val="fontstyle01"/>
                <w:sz w:val="24"/>
                <w:szCs w:val="24"/>
                <w:lang w:val="vi-VN"/>
              </w:rPr>
              <w:t xml:space="preserve"> thủy sản còn sống, </w:t>
            </w:r>
            <w:r w:rsidRPr="001C3F9F">
              <w:rPr>
                <w:rStyle w:val="fontstyle01"/>
                <w:sz w:val="24"/>
                <w:szCs w:val="24"/>
              </w:rPr>
              <w:t xml:space="preserve">các sản phẩm thủy sản tươi sống, ướp đá, ướp </w:t>
            </w:r>
            <w:r w:rsidRPr="001C3F9F">
              <w:rPr>
                <w:rStyle w:val="fontstyle01"/>
                <w:sz w:val="24"/>
                <w:szCs w:val="24"/>
              </w:rPr>
              <w:lastRenderedPageBreak/>
              <w:t>lạnh: c</w:t>
            </w:r>
            <w:r w:rsidRPr="001C3F9F">
              <w:rPr>
                <w:rStyle w:val="fontstyle01"/>
                <w:sz w:val="24"/>
                <w:szCs w:val="24"/>
                <w:lang w:val="vi-VN"/>
              </w:rPr>
              <w:t xml:space="preserve">hỉ thực hiện </w:t>
            </w:r>
            <w:r w:rsidRPr="001C3F9F">
              <w:rPr>
                <w:rStyle w:val="fontstyle01"/>
                <w:sz w:val="24"/>
                <w:szCs w:val="24"/>
              </w:rPr>
              <w:t xml:space="preserve">kiểm dịch </w:t>
            </w:r>
            <w:r w:rsidRPr="001C3F9F">
              <w:rPr>
                <w:rStyle w:val="fontstyle01"/>
                <w:sz w:val="24"/>
                <w:szCs w:val="24"/>
                <w:lang w:val="vi-VN"/>
              </w:rPr>
              <w:t>theo các nguyên tắc của OIE và quy định pháp luật có liên quan</w:t>
            </w:r>
            <w:r w:rsidRPr="001C3F9F">
              <w:rPr>
                <w:rStyle w:val="fontstyle01"/>
                <w:sz w:val="24"/>
                <w:szCs w:val="24"/>
              </w:rPr>
              <w:t xml:space="preserve"> và bỏ quy định phải kiểm tra ATTP</w:t>
            </w:r>
          </w:p>
        </w:tc>
        <w:tc>
          <w:tcPr>
            <w:tcW w:w="1980" w:type="dxa"/>
            <w:shd w:val="clear" w:color="auto" w:fill="auto"/>
          </w:tcPr>
          <w:p w:rsidR="007661E3" w:rsidRPr="001C3F9F" w:rsidRDefault="007661E3" w:rsidP="001C3F9F">
            <w:pPr>
              <w:rPr>
                <w:lang w:val="it-IT"/>
              </w:rPr>
            </w:pPr>
            <w:r w:rsidRPr="001C3F9F">
              <w:rPr>
                <w:lang w:val="it-IT"/>
              </w:rPr>
              <w:lastRenderedPageBreak/>
              <w:t>Hiệp hội đã có công văn 90</w:t>
            </w:r>
            <w:r w:rsidRPr="001C3F9F">
              <w:t>/CV-VASEP ngày 4/11/2022 kiến nghị giải quyết các vướng mắc này</w:t>
            </w:r>
          </w:p>
        </w:tc>
      </w:tr>
      <w:tr w:rsidR="00931461" w:rsidRPr="001C3F9F" w:rsidTr="001C3F9F">
        <w:trPr>
          <w:trHeight w:val="491"/>
        </w:trPr>
        <w:tc>
          <w:tcPr>
            <w:tcW w:w="567" w:type="dxa"/>
            <w:shd w:val="clear" w:color="auto" w:fill="auto"/>
            <w:vAlign w:val="center"/>
          </w:tcPr>
          <w:p w:rsidR="00931461" w:rsidRPr="001C3F9F" w:rsidRDefault="00931461" w:rsidP="001C3F9F">
            <w:pPr>
              <w:jc w:val="center"/>
            </w:pPr>
            <w:r w:rsidRPr="001C3F9F">
              <w:t>3</w:t>
            </w:r>
          </w:p>
        </w:tc>
        <w:tc>
          <w:tcPr>
            <w:tcW w:w="2497" w:type="dxa"/>
            <w:shd w:val="clear" w:color="auto" w:fill="auto"/>
          </w:tcPr>
          <w:p w:rsidR="00931461" w:rsidRPr="001C3F9F" w:rsidRDefault="00931461" w:rsidP="001C3F9F">
            <w:pPr>
              <w:rPr>
                <w:b/>
              </w:rPr>
            </w:pPr>
            <w:r w:rsidRPr="001C3F9F">
              <w:t xml:space="preserve">Dự thảo sửa đổi </w:t>
            </w:r>
            <w:r w:rsidRPr="001C3F9F">
              <w:rPr>
                <w:b/>
              </w:rPr>
              <w:t>Thông tư 48/2013/TT-BNNPTNT</w:t>
            </w:r>
          </w:p>
        </w:tc>
        <w:tc>
          <w:tcPr>
            <w:tcW w:w="4680" w:type="dxa"/>
            <w:shd w:val="clear" w:color="auto" w:fill="auto"/>
          </w:tcPr>
          <w:p w:rsidR="00931461" w:rsidRPr="001C3F9F" w:rsidRDefault="00931461" w:rsidP="001C3F9F">
            <w:pPr>
              <w:pStyle w:val="ListParagraph"/>
              <w:numPr>
                <w:ilvl w:val="0"/>
                <w:numId w:val="4"/>
              </w:numPr>
            </w:pPr>
            <w:r w:rsidRPr="001C3F9F">
              <w:t>Đối với các tiêu chí để xét đưa DN vào/ra/trở lại danh sách ưu tiên: quy định thời gian 3 tháng là chưa phù hợp</w:t>
            </w:r>
          </w:p>
          <w:p w:rsidR="00931461" w:rsidRPr="001C3F9F" w:rsidRDefault="00931461" w:rsidP="001C3F9F">
            <w:pPr>
              <w:pStyle w:val="ListParagraph"/>
              <w:numPr>
                <w:ilvl w:val="0"/>
                <w:numId w:val="4"/>
              </w:numPr>
            </w:pPr>
            <w:r w:rsidRPr="001C3F9F">
              <w:t xml:space="preserve">Tăng </w:t>
            </w:r>
            <w:r w:rsidRPr="001C3F9F">
              <w:rPr>
                <w:b/>
                <w:i/>
              </w:rPr>
              <w:t xml:space="preserve">tần suất </w:t>
            </w:r>
            <w:r w:rsidRPr="001C3F9F">
              <w:t>kiểm tra giám sát lô hàng sau thẩm định/chứng nhận</w:t>
            </w:r>
            <w:r w:rsidRPr="001C3F9F">
              <w:rPr>
                <w:b/>
                <w:i/>
              </w:rPr>
              <w:t xml:space="preserve"> từ 1 năm/ lần sang 1 quý/lần </w:t>
            </w:r>
            <w:r w:rsidRPr="001C3F9F">
              <w:t>và bổ sung hình thức</w:t>
            </w:r>
            <w:r w:rsidRPr="001C3F9F">
              <w:rPr>
                <w:b/>
                <w:i/>
              </w:rPr>
              <w:t xml:space="preserve"> kiểm tra trực tiếp tại cơ sở</w:t>
            </w:r>
          </w:p>
          <w:p w:rsidR="0059286F" w:rsidRPr="001C3F9F" w:rsidRDefault="0059286F" w:rsidP="001C3F9F">
            <w:pPr>
              <w:pStyle w:val="ListParagraph"/>
              <w:numPr>
                <w:ilvl w:val="0"/>
                <w:numId w:val="4"/>
              </w:numPr>
            </w:pPr>
            <w:r w:rsidRPr="001C3F9F">
              <w:rPr>
                <w:rStyle w:val="fontstyle01"/>
                <w:sz w:val="24"/>
                <w:szCs w:val="24"/>
              </w:rPr>
              <w:t>Vị trí lấy mẫu</w:t>
            </w:r>
            <w:r w:rsidR="009F1001" w:rsidRPr="001C3F9F">
              <w:rPr>
                <w:rStyle w:val="fontstyle01"/>
                <w:sz w:val="24"/>
                <w:szCs w:val="24"/>
              </w:rPr>
              <w:t xml:space="preserve"> </w:t>
            </w:r>
            <w:r w:rsidR="009F1001" w:rsidRPr="001C3F9F">
              <w:rPr>
                <w:rStyle w:val="fontstyle21"/>
              </w:rPr>
              <w:t>thẩm tra hiệu quả việc kiểm soát mối nguy ATTP cho các lô hàng xuất khẩu</w:t>
            </w:r>
            <w:r w:rsidRPr="001C3F9F">
              <w:rPr>
                <w:rStyle w:val="fontstyle01"/>
                <w:sz w:val="24"/>
                <w:szCs w:val="24"/>
              </w:rPr>
              <w:t xml:space="preserve">: </w:t>
            </w:r>
            <w:r w:rsidR="009F1001" w:rsidRPr="001C3F9F">
              <w:rPr>
                <w:rStyle w:val="fontstyle01"/>
                <w:sz w:val="24"/>
                <w:szCs w:val="24"/>
              </w:rPr>
              <w:t>t</w:t>
            </w:r>
            <w:r w:rsidRPr="001C3F9F">
              <w:rPr>
                <w:rStyle w:val="fontstyle01"/>
                <w:sz w:val="24"/>
                <w:szCs w:val="24"/>
              </w:rPr>
              <w:t>ại kho bảo quản sản phẩm</w:t>
            </w:r>
            <w:r w:rsidR="009F1001" w:rsidRPr="001C3F9F">
              <w:rPr>
                <w:rStyle w:val="fontstyle01"/>
                <w:sz w:val="24"/>
                <w:szCs w:val="24"/>
              </w:rPr>
              <w:t>:</w:t>
            </w:r>
            <w:r w:rsidR="009F1001" w:rsidRPr="001C3F9F">
              <w:t xml:space="preserve"> là chưa phù hợp</w:t>
            </w:r>
          </w:p>
          <w:p w:rsidR="009F1001" w:rsidRPr="001C3F9F" w:rsidRDefault="009F1001" w:rsidP="001C3F9F">
            <w:pPr>
              <w:pStyle w:val="ListParagraph"/>
              <w:numPr>
                <w:ilvl w:val="0"/>
                <w:numId w:val="4"/>
              </w:numPr>
            </w:pPr>
            <w:r w:rsidRPr="001C3F9F">
              <w:rPr>
                <w:lang w:val="nb-NO" w:eastAsia="en-CA"/>
              </w:rPr>
              <w:t>Mẫu Giấy Chứng nhận Cơ sở đủ</w:t>
            </w:r>
            <w:r w:rsidRPr="001C3F9F">
              <w:rPr>
                <w:b/>
                <w:lang w:val="da-DK"/>
              </w:rPr>
              <w:t xml:space="preserve"> </w:t>
            </w:r>
            <w:r w:rsidRPr="001C3F9F">
              <w:rPr>
                <w:lang w:val="nb-NO" w:eastAsia="en-CA"/>
              </w:rPr>
              <w:t>điều kiện an toàn thực phẩm: chưa nêu rõ Cơ sở đã tu</w:t>
            </w:r>
            <w:r w:rsidRPr="001C3F9F">
              <w:rPr>
                <w:lang w:val="vi-VN" w:eastAsia="en-CA"/>
              </w:rPr>
              <w:t>â</w:t>
            </w:r>
            <w:r w:rsidRPr="001C3F9F">
              <w:rPr>
                <w:lang w:val="nb-NO" w:eastAsia="en-CA"/>
              </w:rPr>
              <w:t>n thủ các yêu cầu của HACCP.</w:t>
            </w:r>
          </w:p>
        </w:tc>
        <w:tc>
          <w:tcPr>
            <w:tcW w:w="4230" w:type="dxa"/>
            <w:shd w:val="clear" w:color="auto" w:fill="auto"/>
          </w:tcPr>
          <w:p w:rsidR="00931461" w:rsidRPr="001C3F9F" w:rsidRDefault="00931461" w:rsidP="001C3F9F">
            <w:pPr>
              <w:pStyle w:val="ListParagraph"/>
              <w:numPr>
                <w:ilvl w:val="0"/>
                <w:numId w:val="5"/>
              </w:numPr>
              <w:rPr>
                <w:b/>
                <w:i/>
              </w:rPr>
            </w:pPr>
            <w:r w:rsidRPr="001C3F9F">
              <w:t xml:space="preserve">Đối với các tiêu chí để xét đưa DN vào/ra/trở lại danh sách ưu tiên: đề nghị thay quy định </w:t>
            </w:r>
            <w:r w:rsidRPr="001C3F9F">
              <w:rPr>
                <w:b/>
                <w:i/>
              </w:rPr>
              <w:t>thời gian 3 tháng bằng quy định 5 lô XK liên tiếp</w:t>
            </w:r>
          </w:p>
          <w:p w:rsidR="00931461" w:rsidRPr="001C3F9F" w:rsidRDefault="00931461" w:rsidP="001C3F9F">
            <w:pPr>
              <w:pStyle w:val="ListParagraph"/>
              <w:numPr>
                <w:ilvl w:val="0"/>
                <w:numId w:val="5"/>
              </w:numPr>
            </w:pPr>
            <w:r w:rsidRPr="001C3F9F">
              <w:t>Về việc tăng tần suất</w:t>
            </w:r>
            <w:r w:rsidRPr="001C3F9F">
              <w:rPr>
                <w:b/>
                <w:i/>
              </w:rPr>
              <w:t xml:space="preserve"> </w:t>
            </w:r>
            <w:r w:rsidRPr="001C3F9F">
              <w:t>kiểm tra giám sát lô hàng sau thẩm định/chứng nhận:</w:t>
            </w:r>
            <w:r w:rsidRPr="001C3F9F">
              <w:rPr>
                <w:b/>
                <w:i/>
              </w:rPr>
              <w:t xml:space="preserve"> </w:t>
            </w:r>
            <w:r w:rsidRPr="001C3F9F">
              <w:t xml:space="preserve">Đề nghị </w:t>
            </w:r>
            <w:r w:rsidRPr="001C3F9F">
              <w:rPr>
                <w:b/>
                <w:i/>
              </w:rPr>
              <w:t>giữ nguyên tần suất</w:t>
            </w:r>
            <w:r w:rsidRPr="001C3F9F">
              <w:t xml:space="preserve"> giám sát 1 năm như Thông tư 48/2013/TT-BNNPTNT</w:t>
            </w:r>
          </w:p>
          <w:p w:rsidR="009F1001" w:rsidRPr="001C3F9F" w:rsidRDefault="009F1001" w:rsidP="001C3F9F">
            <w:pPr>
              <w:pStyle w:val="ListParagraph"/>
              <w:numPr>
                <w:ilvl w:val="0"/>
                <w:numId w:val="5"/>
              </w:numPr>
            </w:pPr>
            <w:r w:rsidRPr="001C3F9F">
              <w:rPr>
                <w:rStyle w:val="fontstyle01"/>
                <w:sz w:val="24"/>
                <w:szCs w:val="24"/>
              </w:rPr>
              <w:t>Điều chỉnh lại vị trí lấy mẫu là tại</w:t>
            </w:r>
            <w:r w:rsidRPr="001C3F9F">
              <w:rPr>
                <w:rStyle w:val="fontstyle01"/>
                <w:i/>
                <w:sz w:val="24"/>
                <w:szCs w:val="24"/>
              </w:rPr>
              <w:t xml:space="preserve"> </w:t>
            </w:r>
            <w:r w:rsidRPr="001C3F9F">
              <w:rPr>
                <w:rStyle w:val="fontstyle01"/>
                <w:b/>
                <w:i/>
                <w:sz w:val="24"/>
                <w:szCs w:val="24"/>
              </w:rPr>
              <w:t>kho bảo quản sản phẩm của nhà máy hoặc kho thuê bên ngoài</w:t>
            </w:r>
          </w:p>
          <w:p w:rsidR="009F1001" w:rsidRPr="001C3F9F" w:rsidRDefault="009F1001" w:rsidP="001C3F9F">
            <w:pPr>
              <w:pStyle w:val="ListParagraph"/>
              <w:numPr>
                <w:ilvl w:val="0"/>
                <w:numId w:val="5"/>
              </w:numPr>
            </w:pPr>
            <w:r w:rsidRPr="001C3F9F">
              <w:rPr>
                <w:lang w:val="nb-NO" w:eastAsia="en-CA"/>
              </w:rPr>
              <w:t xml:space="preserve">Bổ sung, sửa đổi lại Mẫu Giấy chứng nhận để nêu rõ </w:t>
            </w:r>
            <w:r w:rsidRPr="001C3F9F">
              <w:rPr>
                <w:b/>
                <w:i/>
                <w:lang w:val="nb-NO" w:eastAsia="en-CA"/>
              </w:rPr>
              <w:t>Cơ sở đã tu</w:t>
            </w:r>
            <w:r w:rsidRPr="001C3F9F">
              <w:rPr>
                <w:b/>
                <w:i/>
                <w:lang w:val="vi-VN" w:eastAsia="en-CA"/>
              </w:rPr>
              <w:t>â</w:t>
            </w:r>
            <w:r w:rsidRPr="001C3F9F">
              <w:rPr>
                <w:b/>
                <w:i/>
                <w:lang w:val="nb-NO" w:eastAsia="en-CA"/>
              </w:rPr>
              <w:t>n thủ các yêu cầu của HACCP</w:t>
            </w:r>
            <w:r w:rsidRPr="001C3F9F">
              <w:rPr>
                <w:lang w:val="nb-NO" w:eastAsia="en-CA"/>
              </w:rPr>
              <w:t>.</w:t>
            </w:r>
          </w:p>
        </w:tc>
        <w:tc>
          <w:tcPr>
            <w:tcW w:w="1980" w:type="dxa"/>
            <w:shd w:val="clear" w:color="auto" w:fill="auto"/>
          </w:tcPr>
          <w:p w:rsidR="00931461" w:rsidRPr="001C3F9F" w:rsidRDefault="00931461" w:rsidP="001C3F9F">
            <w:pPr>
              <w:rPr>
                <w:lang w:val="it-IT"/>
              </w:rPr>
            </w:pPr>
            <w:r w:rsidRPr="001C3F9F">
              <w:rPr>
                <w:lang w:val="it-IT"/>
              </w:rPr>
              <w:t>Hiệp hội đã có công văn 92</w:t>
            </w:r>
            <w:r w:rsidRPr="001C3F9F">
              <w:t>/CV-VASEP ngày 15/11/2022 kiến nghị giải quyết các vướng mắc này</w:t>
            </w:r>
          </w:p>
        </w:tc>
      </w:tr>
      <w:tr w:rsidR="00F77C4D" w:rsidRPr="001C3F9F" w:rsidTr="001C3F9F">
        <w:trPr>
          <w:trHeight w:val="491"/>
        </w:trPr>
        <w:tc>
          <w:tcPr>
            <w:tcW w:w="567" w:type="dxa"/>
            <w:shd w:val="clear" w:color="auto" w:fill="auto"/>
            <w:vAlign w:val="center"/>
          </w:tcPr>
          <w:p w:rsidR="00F77C4D" w:rsidRPr="001C3F9F" w:rsidRDefault="00F77C4D" w:rsidP="001C3F9F">
            <w:pPr>
              <w:jc w:val="center"/>
            </w:pPr>
            <w:r w:rsidRPr="001C3F9F">
              <w:t>4</w:t>
            </w:r>
          </w:p>
        </w:tc>
        <w:tc>
          <w:tcPr>
            <w:tcW w:w="2497" w:type="dxa"/>
            <w:shd w:val="clear" w:color="auto" w:fill="auto"/>
          </w:tcPr>
          <w:p w:rsidR="00F77C4D" w:rsidRPr="001C3F9F" w:rsidRDefault="00CE4D90" w:rsidP="001C3F9F">
            <w:r w:rsidRPr="001C3F9F">
              <w:rPr>
                <w:lang w:val="nb-NO"/>
              </w:rPr>
              <w:t xml:space="preserve">Dự kiến bãi bỏ </w:t>
            </w:r>
            <w:r w:rsidRPr="001C3F9F">
              <w:rPr>
                <w:b/>
                <w:lang w:val="nb-NO"/>
              </w:rPr>
              <w:t>Thông tư 28/2019/TT-BNNPTNT</w:t>
            </w:r>
            <w:r w:rsidR="004A1BEB" w:rsidRPr="001C3F9F">
              <w:rPr>
                <w:lang w:val="nb-NO"/>
              </w:rPr>
              <w:t xml:space="preserve"> ngày 31/12/2019</w:t>
            </w:r>
          </w:p>
        </w:tc>
        <w:tc>
          <w:tcPr>
            <w:tcW w:w="4680" w:type="dxa"/>
            <w:shd w:val="clear" w:color="auto" w:fill="auto"/>
          </w:tcPr>
          <w:p w:rsidR="00F77C4D" w:rsidRPr="001C3F9F" w:rsidRDefault="007635B0" w:rsidP="001C3F9F">
            <w:r w:rsidRPr="001C3F9F">
              <w:rPr>
                <w:lang w:val="nb-NO"/>
              </w:rPr>
              <w:t xml:space="preserve">Dự kiến bãi bỏ Thông tư 28/2019/TT-BNNPTNT do căn cứ của Thông tư 28/1029.TT-BNNPTNT </w:t>
            </w:r>
            <w:r w:rsidRPr="001C3F9F">
              <w:rPr>
                <w:b/>
                <w:lang w:val="nb-NO"/>
              </w:rPr>
              <w:t xml:space="preserve">là </w:t>
            </w:r>
            <w:r w:rsidRPr="001C3F9F">
              <w:rPr>
                <w:b/>
                <w:lang w:eastAsia="ja-JP"/>
              </w:rPr>
              <w:t xml:space="preserve">Quyết định 2002/657/EC </w:t>
            </w:r>
            <w:r w:rsidRPr="001C3F9F">
              <w:rPr>
                <w:lang w:val="nb-NO"/>
              </w:rPr>
              <w:t xml:space="preserve">hết hiệu lực vào ngày 28/11/2022 là chưa phù hợp do </w:t>
            </w:r>
            <w:r w:rsidRPr="001C3F9F">
              <w:rPr>
                <w:lang w:eastAsia="ja-JP"/>
              </w:rPr>
              <w:t xml:space="preserve">EU đã ban hành Quy định số (EU) </w:t>
            </w:r>
            <w:r w:rsidRPr="001C3F9F">
              <w:rPr>
                <w:b/>
                <w:bCs/>
                <w:lang w:eastAsia="ja-JP"/>
              </w:rPr>
              <w:t>2019/1871</w:t>
            </w:r>
            <w:r w:rsidRPr="001C3F9F">
              <w:rPr>
                <w:lang w:eastAsia="ja-JP"/>
              </w:rPr>
              <w:t xml:space="preserve"> ngày 07/11/2019 và Quy định (EU) </w:t>
            </w:r>
            <w:r w:rsidRPr="001C3F9F">
              <w:rPr>
                <w:b/>
                <w:bCs/>
                <w:lang w:eastAsia="ja-JP"/>
              </w:rPr>
              <w:t>2021/808</w:t>
            </w:r>
            <w:r w:rsidRPr="001C3F9F">
              <w:rPr>
                <w:lang w:eastAsia="ja-JP"/>
              </w:rPr>
              <w:t xml:space="preserve"> ngày 22/3/2021 quy định về mức tham chiếu hoạt động (Reference points of action - </w:t>
            </w:r>
            <w:r w:rsidRPr="001C3F9F">
              <w:rPr>
                <w:b/>
                <w:bCs/>
                <w:lang w:eastAsia="ja-JP"/>
              </w:rPr>
              <w:t>RPA</w:t>
            </w:r>
            <w:r w:rsidRPr="001C3F9F">
              <w:rPr>
                <w:lang w:eastAsia="ja-JP"/>
              </w:rPr>
              <w:t>) để xử lý đối với tồn dư một số hoạt chất không có quy định mức giới hạn tối đa (</w:t>
            </w:r>
            <w:r w:rsidRPr="001C3F9F">
              <w:rPr>
                <w:b/>
                <w:bCs/>
                <w:lang w:eastAsia="ja-JP"/>
              </w:rPr>
              <w:t>MRL</w:t>
            </w:r>
            <w:r w:rsidRPr="001C3F9F">
              <w:rPr>
                <w:lang w:eastAsia="ja-JP"/>
              </w:rPr>
              <w:t xml:space="preserve">) trong thực phẩm có nguồn gốc từ động vật (sẽ có hiệu lực thi hành từ </w:t>
            </w:r>
            <w:r w:rsidRPr="001C3F9F">
              <w:rPr>
                <w:b/>
                <w:bCs/>
                <w:lang w:eastAsia="ja-JP"/>
              </w:rPr>
              <w:t>28/11/2022</w:t>
            </w:r>
            <w:r w:rsidRPr="001C3F9F">
              <w:rPr>
                <w:lang w:eastAsia="ja-JP"/>
              </w:rPr>
              <w:t>)</w:t>
            </w:r>
          </w:p>
        </w:tc>
        <w:tc>
          <w:tcPr>
            <w:tcW w:w="4230" w:type="dxa"/>
            <w:shd w:val="clear" w:color="auto" w:fill="auto"/>
          </w:tcPr>
          <w:p w:rsidR="00F77C4D" w:rsidRPr="001C3F9F" w:rsidRDefault="007635B0" w:rsidP="001C3F9F">
            <w:pPr>
              <w:pStyle w:val="ListParagraph"/>
              <w:numPr>
                <w:ilvl w:val="0"/>
                <w:numId w:val="6"/>
              </w:numPr>
              <w:rPr>
                <w:lang w:eastAsia="ja-JP"/>
              </w:rPr>
            </w:pPr>
            <w:r w:rsidRPr="001C3F9F">
              <w:rPr>
                <w:lang w:val="it-IT"/>
              </w:rPr>
              <w:t xml:space="preserve">Đề nghị Bộ NNPTNT xem xét </w:t>
            </w:r>
            <w:r w:rsidRPr="001C3F9F">
              <w:rPr>
                <w:b/>
                <w:i/>
                <w:lang w:val="it-IT"/>
              </w:rPr>
              <w:t>không bãi bỏ toàn bộ Thông tư số 28/2019/ TTBNNPTNT và có văn bản sửa đổi, thay thế cho thông tư 28/2019/ TTBNNPTNT</w:t>
            </w:r>
            <w:r w:rsidRPr="001C3F9F">
              <w:rPr>
                <w:lang w:val="it-IT"/>
              </w:rPr>
              <w:t xml:space="preserve"> </w:t>
            </w:r>
            <w:r w:rsidRPr="001C3F9F">
              <w:rPr>
                <w:lang w:eastAsia="ja-JP"/>
              </w:rPr>
              <w:t xml:space="preserve">dẫn chiếu và áp dụng theo quy định (EU) </w:t>
            </w:r>
            <w:r w:rsidRPr="001C3F9F">
              <w:rPr>
                <w:b/>
                <w:bCs/>
                <w:lang w:eastAsia="ja-JP"/>
              </w:rPr>
              <w:t>2019/1871</w:t>
            </w:r>
            <w:r w:rsidRPr="001C3F9F">
              <w:rPr>
                <w:lang w:eastAsia="ja-JP"/>
              </w:rPr>
              <w:t xml:space="preserve"> và </w:t>
            </w:r>
            <w:r w:rsidRPr="001C3F9F">
              <w:rPr>
                <w:b/>
                <w:bCs/>
                <w:lang w:eastAsia="ja-JP"/>
              </w:rPr>
              <w:t>2021/808</w:t>
            </w:r>
            <w:r w:rsidRPr="001C3F9F">
              <w:rPr>
                <w:lang w:eastAsia="ja-JP"/>
              </w:rPr>
              <w:t xml:space="preserve"> </w:t>
            </w:r>
          </w:p>
          <w:p w:rsidR="007635B0" w:rsidRPr="001C3F9F" w:rsidRDefault="007635B0" w:rsidP="001C3F9F">
            <w:pPr>
              <w:pStyle w:val="ListParagraph"/>
              <w:numPr>
                <w:ilvl w:val="0"/>
                <w:numId w:val="6"/>
              </w:numPr>
              <w:rPr>
                <w:lang w:val="it-IT"/>
              </w:rPr>
            </w:pPr>
            <w:r w:rsidRPr="001C3F9F">
              <w:rPr>
                <w:lang w:eastAsia="ja-JP"/>
              </w:rPr>
              <w:t>Bổ sung và ban hành</w:t>
            </w:r>
            <w:r w:rsidRPr="001C3F9F">
              <w:rPr>
                <w:b/>
                <w:i/>
              </w:rPr>
              <w:t xml:space="preserve"> mức quy định hoạt động (Regulatory Action Levels - RAL) là 5.0 ppb</w:t>
            </w:r>
            <w:r w:rsidRPr="001C3F9F">
              <w:t xml:space="preserve"> cho kháng sinh Enrofloxacin – Ciprofloxacin dẫn chiếu quy định từ Chương trình Tuân thủ Thực phẩm của Mỹ (Program 7304.018)</w:t>
            </w:r>
          </w:p>
        </w:tc>
        <w:tc>
          <w:tcPr>
            <w:tcW w:w="1980" w:type="dxa"/>
            <w:shd w:val="clear" w:color="auto" w:fill="auto"/>
          </w:tcPr>
          <w:p w:rsidR="00F77C4D" w:rsidRPr="001C3F9F" w:rsidRDefault="00F77C4D" w:rsidP="001C3F9F">
            <w:pPr>
              <w:rPr>
                <w:lang w:val="it-IT"/>
              </w:rPr>
            </w:pPr>
            <w:r w:rsidRPr="001C3F9F">
              <w:rPr>
                <w:lang w:val="it-IT"/>
              </w:rPr>
              <w:t>Hiệp hội đã có công văn 93</w:t>
            </w:r>
            <w:r w:rsidRPr="001C3F9F">
              <w:t>/CV-VASEP ngày 16/11/2022 kiến nghị giải quyết các vướng mắc này</w:t>
            </w:r>
          </w:p>
        </w:tc>
      </w:tr>
      <w:tr w:rsidR="00F77C4D" w:rsidRPr="001C3F9F" w:rsidTr="001C3F9F">
        <w:trPr>
          <w:trHeight w:val="491"/>
        </w:trPr>
        <w:tc>
          <w:tcPr>
            <w:tcW w:w="567" w:type="dxa"/>
            <w:shd w:val="clear" w:color="auto" w:fill="auto"/>
            <w:vAlign w:val="center"/>
          </w:tcPr>
          <w:p w:rsidR="00F77C4D" w:rsidRPr="001C3F9F" w:rsidRDefault="00F77C4D" w:rsidP="001C3F9F">
            <w:pPr>
              <w:jc w:val="center"/>
            </w:pPr>
            <w:r w:rsidRPr="001C3F9F">
              <w:lastRenderedPageBreak/>
              <w:t>5</w:t>
            </w:r>
          </w:p>
        </w:tc>
        <w:tc>
          <w:tcPr>
            <w:tcW w:w="2497" w:type="dxa"/>
            <w:shd w:val="clear" w:color="auto" w:fill="auto"/>
          </w:tcPr>
          <w:p w:rsidR="00F77C4D" w:rsidRPr="001C3F9F" w:rsidRDefault="00F77C4D" w:rsidP="001C3F9F">
            <w:r w:rsidRPr="001C3F9F">
              <w:t>…</w:t>
            </w:r>
          </w:p>
        </w:tc>
        <w:tc>
          <w:tcPr>
            <w:tcW w:w="4680" w:type="dxa"/>
            <w:shd w:val="clear" w:color="auto" w:fill="auto"/>
          </w:tcPr>
          <w:p w:rsidR="00F77C4D" w:rsidRPr="001C3F9F" w:rsidRDefault="00F77C4D" w:rsidP="001C3F9F">
            <w:pPr>
              <w:jc w:val="center"/>
            </w:pPr>
          </w:p>
        </w:tc>
        <w:tc>
          <w:tcPr>
            <w:tcW w:w="4230" w:type="dxa"/>
            <w:shd w:val="clear" w:color="auto" w:fill="auto"/>
          </w:tcPr>
          <w:p w:rsidR="00F77C4D" w:rsidRPr="001C3F9F" w:rsidRDefault="00F77C4D" w:rsidP="001C3F9F">
            <w:pPr>
              <w:jc w:val="center"/>
              <w:rPr>
                <w:lang w:val="it-IT"/>
              </w:rPr>
            </w:pPr>
          </w:p>
        </w:tc>
        <w:tc>
          <w:tcPr>
            <w:tcW w:w="1980" w:type="dxa"/>
            <w:shd w:val="clear" w:color="auto" w:fill="auto"/>
          </w:tcPr>
          <w:p w:rsidR="00F77C4D" w:rsidRPr="001C3F9F" w:rsidRDefault="00F77C4D" w:rsidP="001C3F9F">
            <w:pPr>
              <w:jc w:val="center"/>
              <w:rPr>
                <w:lang w:val="it-IT"/>
              </w:rPr>
            </w:pPr>
          </w:p>
        </w:tc>
      </w:tr>
      <w:tr w:rsidR="00F77C4D" w:rsidRPr="001C3F9F" w:rsidTr="001C3F9F">
        <w:trPr>
          <w:trHeight w:val="491"/>
        </w:trPr>
        <w:tc>
          <w:tcPr>
            <w:tcW w:w="567" w:type="dxa"/>
            <w:shd w:val="clear" w:color="auto" w:fill="auto"/>
            <w:vAlign w:val="center"/>
          </w:tcPr>
          <w:p w:rsidR="00F77C4D" w:rsidRPr="001C3F9F" w:rsidRDefault="00F77C4D" w:rsidP="001C3F9F">
            <w:pPr>
              <w:jc w:val="center"/>
            </w:pPr>
            <w:r w:rsidRPr="001C3F9F">
              <w:t>…</w:t>
            </w:r>
          </w:p>
        </w:tc>
        <w:tc>
          <w:tcPr>
            <w:tcW w:w="2497" w:type="dxa"/>
            <w:shd w:val="clear" w:color="auto" w:fill="auto"/>
          </w:tcPr>
          <w:p w:rsidR="00F77C4D" w:rsidRPr="001C3F9F" w:rsidRDefault="00F77C4D" w:rsidP="001C3F9F">
            <w:r w:rsidRPr="001C3F9F">
              <w:t>…</w:t>
            </w:r>
          </w:p>
        </w:tc>
        <w:tc>
          <w:tcPr>
            <w:tcW w:w="4680" w:type="dxa"/>
            <w:shd w:val="clear" w:color="auto" w:fill="auto"/>
          </w:tcPr>
          <w:p w:rsidR="00F77C4D" w:rsidRPr="001C3F9F" w:rsidRDefault="00F77C4D" w:rsidP="001C3F9F">
            <w:pPr>
              <w:jc w:val="center"/>
            </w:pPr>
          </w:p>
        </w:tc>
        <w:tc>
          <w:tcPr>
            <w:tcW w:w="4230" w:type="dxa"/>
            <w:shd w:val="clear" w:color="auto" w:fill="auto"/>
          </w:tcPr>
          <w:p w:rsidR="00F77C4D" w:rsidRPr="001C3F9F" w:rsidRDefault="00F77C4D" w:rsidP="001C3F9F">
            <w:pPr>
              <w:jc w:val="center"/>
              <w:rPr>
                <w:lang w:val="it-IT"/>
              </w:rPr>
            </w:pPr>
          </w:p>
        </w:tc>
        <w:tc>
          <w:tcPr>
            <w:tcW w:w="1980" w:type="dxa"/>
            <w:shd w:val="clear" w:color="auto" w:fill="auto"/>
          </w:tcPr>
          <w:p w:rsidR="00F77C4D" w:rsidRPr="001C3F9F" w:rsidRDefault="00F77C4D" w:rsidP="001C3F9F">
            <w:pPr>
              <w:jc w:val="center"/>
              <w:rPr>
                <w:lang w:val="it-IT"/>
              </w:rPr>
            </w:pPr>
          </w:p>
        </w:tc>
      </w:tr>
    </w:tbl>
    <w:p w:rsidR="008A2701" w:rsidRDefault="008A2701" w:rsidP="008A2701">
      <w:pPr>
        <w:spacing w:line="360" w:lineRule="auto"/>
        <w:rPr>
          <w:b/>
          <w:sz w:val="26"/>
          <w:szCs w:val="26"/>
        </w:rPr>
      </w:pPr>
    </w:p>
    <w:p w:rsidR="008A2701" w:rsidRPr="00523B9A" w:rsidRDefault="008A2701" w:rsidP="00523B9A">
      <w:pPr>
        <w:pStyle w:val="ListParagraph"/>
        <w:numPr>
          <w:ilvl w:val="0"/>
          <w:numId w:val="8"/>
        </w:numPr>
        <w:spacing w:line="360" w:lineRule="auto"/>
        <w:ind w:left="450" w:hanging="450"/>
        <w:rPr>
          <w:b/>
          <w:sz w:val="26"/>
          <w:szCs w:val="26"/>
        </w:rPr>
      </w:pPr>
      <w:r w:rsidRPr="00523B9A">
        <w:rPr>
          <w:b/>
          <w:sz w:val="26"/>
          <w:szCs w:val="26"/>
        </w:rPr>
        <w:t xml:space="preserve">Ý KIẾN KHÁC: </w:t>
      </w:r>
      <w:r w:rsidRPr="00523B9A">
        <w:rPr>
          <w:b/>
          <w:sz w:val="26"/>
          <w:szCs w:val="26"/>
        </w:rPr>
        <w:tab/>
      </w:r>
    </w:p>
    <w:p w:rsidR="008A2701" w:rsidRDefault="008A2701" w:rsidP="004C302B">
      <w:pPr>
        <w:tabs>
          <w:tab w:val="right" w:leader="dot" w:pos="12960"/>
        </w:tabs>
        <w:spacing w:line="360" w:lineRule="auto"/>
        <w:rPr>
          <w:sz w:val="26"/>
          <w:szCs w:val="26"/>
        </w:rPr>
      </w:pPr>
      <w:r>
        <w:rPr>
          <w:sz w:val="26"/>
          <w:szCs w:val="26"/>
        </w:rPr>
        <w:tab/>
      </w:r>
    </w:p>
    <w:p w:rsidR="008A2701" w:rsidRDefault="008A2701" w:rsidP="004C302B">
      <w:pPr>
        <w:tabs>
          <w:tab w:val="right" w:leader="dot" w:pos="12960"/>
        </w:tabs>
        <w:spacing w:line="360" w:lineRule="auto"/>
        <w:rPr>
          <w:sz w:val="26"/>
          <w:szCs w:val="26"/>
        </w:rPr>
      </w:pPr>
      <w:r>
        <w:rPr>
          <w:sz w:val="26"/>
          <w:szCs w:val="26"/>
        </w:rPr>
        <w:tab/>
      </w:r>
    </w:p>
    <w:p w:rsidR="008A2701" w:rsidRDefault="008A2701" w:rsidP="004C302B">
      <w:pPr>
        <w:tabs>
          <w:tab w:val="right" w:leader="dot" w:pos="12960"/>
        </w:tabs>
        <w:spacing w:line="360" w:lineRule="auto"/>
        <w:rPr>
          <w:sz w:val="26"/>
          <w:szCs w:val="26"/>
        </w:rPr>
      </w:pPr>
      <w:r>
        <w:rPr>
          <w:sz w:val="26"/>
          <w:szCs w:val="26"/>
        </w:rPr>
        <w:tab/>
      </w:r>
    </w:p>
    <w:p w:rsidR="008A2701" w:rsidRPr="00525BC8" w:rsidRDefault="008A2701" w:rsidP="004C302B">
      <w:pPr>
        <w:tabs>
          <w:tab w:val="right" w:leader="dot" w:pos="12960"/>
        </w:tabs>
        <w:spacing w:line="360" w:lineRule="auto"/>
        <w:rPr>
          <w:b/>
          <w:sz w:val="26"/>
          <w:szCs w:val="26"/>
        </w:rPr>
      </w:pPr>
      <w:r>
        <w:rPr>
          <w:sz w:val="26"/>
          <w:szCs w:val="26"/>
        </w:rPr>
        <w:tab/>
      </w:r>
    </w:p>
    <w:p w:rsidR="00D44842" w:rsidRDefault="004C302B" w:rsidP="001C3F9F">
      <w:pPr>
        <w:spacing w:line="360" w:lineRule="auto"/>
        <w:ind w:left="7200"/>
        <w:jc w:val="center"/>
      </w:pPr>
      <w:r w:rsidRPr="007D62B4">
        <w:rPr>
          <w:b/>
          <w:sz w:val="26"/>
          <w:szCs w:val="26"/>
          <w:lang w:val="it-IT"/>
        </w:rPr>
        <w:t>THỦ TRƯỞNG CƠ QUAN, ĐƠN VỊ</w:t>
      </w:r>
    </w:p>
    <w:sectPr w:rsidR="00D44842" w:rsidSect="001C3F9F">
      <w:footerReference w:type="default" r:id="rId8"/>
      <w:pgSz w:w="15840" w:h="12240" w:orient="landscape"/>
      <w:pgMar w:top="864" w:right="1440" w:bottom="432"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9B" w:rsidRDefault="00EC649B" w:rsidP="001C3F9F">
      <w:r>
        <w:separator/>
      </w:r>
    </w:p>
  </w:endnote>
  <w:endnote w:type="continuationSeparator" w:id="0">
    <w:p w:rsidR="00EC649B" w:rsidRDefault="00EC649B" w:rsidP="001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34644"/>
      <w:docPartObj>
        <w:docPartGallery w:val="Page Numbers (Bottom of Page)"/>
        <w:docPartUnique/>
      </w:docPartObj>
    </w:sdtPr>
    <w:sdtEndPr>
      <w:rPr>
        <w:noProof/>
      </w:rPr>
    </w:sdtEndPr>
    <w:sdtContent>
      <w:p w:rsidR="001C3F9F" w:rsidRDefault="001C3F9F">
        <w:pPr>
          <w:pStyle w:val="Footer"/>
          <w:jc w:val="right"/>
        </w:pPr>
        <w:r>
          <w:fldChar w:fldCharType="begin"/>
        </w:r>
        <w:r>
          <w:instrText xml:space="preserve"> PAGE   \* MERGEFORMAT </w:instrText>
        </w:r>
        <w:r>
          <w:fldChar w:fldCharType="separate"/>
        </w:r>
        <w:r w:rsidR="00E00F70">
          <w:rPr>
            <w:noProof/>
          </w:rPr>
          <w:t>2</w:t>
        </w:r>
        <w:r>
          <w:rPr>
            <w:noProof/>
          </w:rPr>
          <w:fldChar w:fldCharType="end"/>
        </w:r>
      </w:p>
    </w:sdtContent>
  </w:sdt>
  <w:p w:rsidR="001C3F9F" w:rsidRDefault="001C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9B" w:rsidRDefault="00EC649B" w:rsidP="001C3F9F">
      <w:r>
        <w:separator/>
      </w:r>
    </w:p>
  </w:footnote>
  <w:footnote w:type="continuationSeparator" w:id="0">
    <w:p w:rsidR="00EC649B" w:rsidRDefault="00EC649B" w:rsidP="001C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09"/>
    <w:multiLevelType w:val="hybridMultilevel"/>
    <w:tmpl w:val="78C21D58"/>
    <w:lvl w:ilvl="0" w:tplc="1F9AA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CA327F"/>
    <w:multiLevelType w:val="hybridMultilevel"/>
    <w:tmpl w:val="D9120C00"/>
    <w:lvl w:ilvl="0" w:tplc="34BEA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36BBA"/>
    <w:multiLevelType w:val="hybridMultilevel"/>
    <w:tmpl w:val="954AD712"/>
    <w:lvl w:ilvl="0" w:tplc="439E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33D2E"/>
    <w:multiLevelType w:val="hybridMultilevel"/>
    <w:tmpl w:val="AC3E7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3B5E0C"/>
    <w:multiLevelType w:val="hybridMultilevel"/>
    <w:tmpl w:val="BB08CA1E"/>
    <w:lvl w:ilvl="0" w:tplc="73840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261921"/>
    <w:multiLevelType w:val="hybridMultilevel"/>
    <w:tmpl w:val="DE96DFA2"/>
    <w:lvl w:ilvl="0" w:tplc="61A20E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7A10F6"/>
    <w:multiLevelType w:val="hybridMultilevel"/>
    <w:tmpl w:val="3B92DF8E"/>
    <w:lvl w:ilvl="0" w:tplc="6C5EDE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14DAD"/>
    <w:multiLevelType w:val="hybridMultilevel"/>
    <w:tmpl w:val="6E24E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42"/>
    <w:rsid w:val="00140102"/>
    <w:rsid w:val="001C3F9F"/>
    <w:rsid w:val="00264B5F"/>
    <w:rsid w:val="003208A2"/>
    <w:rsid w:val="00444DA9"/>
    <w:rsid w:val="004573FA"/>
    <w:rsid w:val="004A1BEB"/>
    <w:rsid w:val="004C302B"/>
    <w:rsid w:val="004F6EF7"/>
    <w:rsid w:val="00523B9A"/>
    <w:rsid w:val="00560D3D"/>
    <w:rsid w:val="005719EC"/>
    <w:rsid w:val="0059286F"/>
    <w:rsid w:val="005C2B72"/>
    <w:rsid w:val="006E4B40"/>
    <w:rsid w:val="007635B0"/>
    <w:rsid w:val="007661E3"/>
    <w:rsid w:val="0077637B"/>
    <w:rsid w:val="007C529F"/>
    <w:rsid w:val="0087409C"/>
    <w:rsid w:val="008A2701"/>
    <w:rsid w:val="008E4DA1"/>
    <w:rsid w:val="00931461"/>
    <w:rsid w:val="009F1001"/>
    <w:rsid w:val="00A42073"/>
    <w:rsid w:val="00A62ED2"/>
    <w:rsid w:val="00CE4D90"/>
    <w:rsid w:val="00CE518C"/>
    <w:rsid w:val="00D164A5"/>
    <w:rsid w:val="00D25995"/>
    <w:rsid w:val="00D44842"/>
    <w:rsid w:val="00D94DF8"/>
    <w:rsid w:val="00E00F70"/>
    <w:rsid w:val="00E44165"/>
    <w:rsid w:val="00E719D1"/>
    <w:rsid w:val="00EC649B"/>
    <w:rsid w:val="00F77C4D"/>
    <w:rsid w:val="00F8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0037"/>
  <w15:chartTrackingRefBased/>
  <w15:docId w15:val="{796E4C18-02B4-41AD-80E4-8CB8A9B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FA"/>
    <w:pPr>
      <w:ind w:left="720"/>
      <w:contextualSpacing/>
    </w:pPr>
  </w:style>
  <w:style w:type="character" w:styleId="Hyperlink">
    <w:name w:val="Hyperlink"/>
    <w:basedOn w:val="DefaultParagraphFont"/>
    <w:uiPriority w:val="99"/>
    <w:semiHidden/>
    <w:unhideWhenUsed/>
    <w:rsid w:val="005C2B72"/>
    <w:rPr>
      <w:color w:val="0000FF"/>
      <w:u w:val="single"/>
    </w:rPr>
  </w:style>
  <w:style w:type="character" w:customStyle="1" w:styleId="fontstyle01">
    <w:name w:val="fontstyle01"/>
    <w:rsid w:val="00D94DF8"/>
    <w:rPr>
      <w:rFonts w:ascii="Times New Roman" w:hAnsi="Times New Roman" w:cs="Times New Roman" w:hint="default"/>
      <w:b w:val="0"/>
      <w:bCs w:val="0"/>
      <w:i w:val="0"/>
      <w:iCs w:val="0"/>
      <w:color w:val="000000"/>
      <w:sz w:val="26"/>
      <w:szCs w:val="26"/>
    </w:rPr>
  </w:style>
  <w:style w:type="character" w:customStyle="1" w:styleId="fontstyle21">
    <w:name w:val="fontstyle21"/>
    <w:rsid w:val="009F1001"/>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1C3F9F"/>
    <w:pPr>
      <w:tabs>
        <w:tab w:val="center" w:pos="4680"/>
        <w:tab w:val="right" w:pos="9360"/>
      </w:tabs>
    </w:pPr>
  </w:style>
  <w:style w:type="character" w:customStyle="1" w:styleId="HeaderChar">
    <w:name w:val="Header Char"/>
    <w:basedOn w:val="DefaultParagraphFont"/>
    <w:link w:val="Header"/>
    <w:uiPriority w:val="99"/>
    <w:rsid w:val="001C3F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3F9F"/>
    <w:pPr>
      <w:tabs>
        <w:tab w:val="center" w:pos="4680"/>
        <w:tab w:val="right" w:pos="9360"/>
      </w:tabs>
    </w:pPr>
  </w:style>
  <w:style w:type="character" w:customStyle="1" w:styleId="FooterChar">
    <w:name w:val="Footer Char"/>
    <w:basedOn w:val="DefaultParagraphFont"/>
    <w:link w:val="Footer"/>
    <w:uiPriority w:val="99"/>
    <w:rsid w:val="001C3F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0FCC-B0DD-4A32-8E83-DC83130A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2022-11-17T09:18:00Z</dcterms:created>
  <dcterms:modified xsi:type="dcterms:W3CDTF">2022-11-17T15:56:00Z</dcterms:modified>
</cp:coreProperties>
</file>