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0E" w:rsidRPr="00E203A1" w:rsidRDefault="00D6000E" w:rsidP="006C2EB0">
      <w:pPr>
        <w:spacing w:before="120" w:line="360" w:lineRule="exact"/>
        <w:jc w:val="center"/>
        <w:rPr>
          <w:rFonts w:ascii="Arial" w:hAnsi="Arial" w:cs="Arial"/>
          <w:b/>
          <w:color w:val="002060"/>
          <w:sz w:val="32"/>
          <w:szCs w:val="32"/>
        </w:rPr>
      </w:pPr>
    </w:p>
    <w:p w:rsidR="00FD0F84" w:rsidRPr="00E203A1" w:rsidRDefault="00D6000E" w:rsidP="006C2EB0">
      <w:pPr>
        <w:spacing w:before="120" w:line="360" w:lineRule="exact"/>
        <w:jc w:val="center"/>
        <w:rPr>
          <w:rFonts w:ascii="Arial" w:hAnsi="Arial" w:cs="Arial"/>
          <w:b/>
          <w:color w:val="002060"/>
          <w:sz w:val="32"/>
          <w:szCs w:val="32"/>
        </w:rPr>
      </w:pPr>
      <w:r w:rsidRPr="00E203A1">
        <w:rPr>
          <w:rFonts w:ascii="Arial" w:hAnsi="Arial" w:cs="Arial"/>
          <w:b/>
          <w:color w:val="002060"/>
          <w:sz w:val="32"/>
          <w:szCs w:val="32"/>
        </w:rPr>
        <w:t>XUẤT KHẨU THỦY SẢN VIỆT NAM 201</w:t>
      </w:r>
      <w:r w:rsidR="008307B2" w:rsidRPr="00E203A1">
        <w:rPr>
          <w:rFonts w:ascii="Arial" w:hAnsi="Arial" w:cs="Arial"/>
          <w:b/>
          <w:color w:val="002060"/>
          <w:sz w:val="32"/>
          <w:szCs w:val="32"/>
        </w:rPr>
        <w:t>5</w:t>
      </w:r>
      <w:r w:rsidRPr="00E203A1">
        <w:rPr>
          <w:rFonts w:ascii="Arial" w:hAnsi="Arial" w:cs="Arial"/>
          <w:b/>
          <w:color w:val="002060"/>
          <w:sz w:val="32"/>
          <w:szCs w:val="32"/>
        </w:rPr>
        <w:t>-20</w:t>
      </w:r>
      <w:r w:rsidR="00FC11AE" w:rsidRPr="00E203A1">
        <w:rPr>
          <w:rFonts w:ascii="Arial" w:hAnsi="Arial" w:cs="Arial"/>
          <w:b/>
          <w:color w:val="002060"/>
          <w:sz w:val="32"/>
          <w:szCs w:val="32"/>
        </w:rPr>
        <w:t>20</w:t>
      </w:r>
    </w:p>
    <w:p w:rsidR="00AD7CC3" w:rsidRPr="00E203A1" w:rsidRDefault="00AD7CC3" w:rsidP="006C2EB0">
      <w:pPr>
        <w:spacing w:before="120" w:line="360" w:lineRule="exact"/>
        <w:jc w:val="center"/>
        <w:rPr>
          <w:rFonts w:ascii="Arial" w:hAnsi="Arial" w:cs="Arial"/>
          <w:b/>
          <w:color w:val="002060"/>
          <w:sz w:val="32"/>
          <w:szCs w:val="32"/>
        </w:rPr>
      </w:pPr>
      <w:r w:rsidRPr="00E203A1">
        <w:rPr>
          <w:rFonts w:ascii="Arial" w:hAnsi="Arial" w:cs="Arial"/>
          <w:b/>
          <w:color w:val="002060"/>
          <w:sz w:val="32"/>
          <w:szCs w:val="32"/>
        </w:rPr>
        <w:t>DỰ BÁO GIAI ĐOẠN 20</w:t>
      </w:r>
      <w:r w:rsidR="00F358B0">
        <w:rPr>
          <w:rFonts w:ascii="Arial" w:hAnsi="Arial" w:cs="Arial"/>
          <w:b/>
          <w:color w:val="002060"/>
          <w:sz w:val="32"/>
          <w:szCs w:val="32"/>
        </w:rPr>
        <w:t>2</w:t>
      </w:r>
      <w:r w:rsidR="00D4767B">
        <w:rPr>
          <w:rFonts w:ascii="Arial" w:hAnsi="Arial" w:cs="Arial"/>
          <w:b/>
          <w:color w:val="002060"/>
          <w:sz w:val="32"/>
          <w:szCs w:val="32"/>
        </w:rPr>
        <w:t>1</w:t>
      </w:r>
      <w:bookmarkStart w:id="0" w:name="_GoBack"/>
      <w:bookmarkEnd w:id="0"/>
      <w:r w:rsidRPr="00E203A1">
        <w:rPr>
          <w:rFonts w:ascii="Arial" w:hAnsi="Arial" w:cs="Arial"/>
          <w:b/>
          <w:color w:val="002060"/>
          <w:sz w:val="32"/>
          <w:szCs w:val="32"/>
        </w:rPr>
        <w:t>-20</w:t>
      </w:r>
      <w:r w:rsidR="00F358B0">
        <w:rPr>
          <w:rFonts w:ascii="Arial" w:hAnsi="Arial" w:cs="Arial"/>
          <w:b/>
          <w:color w:val="002060"/>
          <w:sz w:val="32"/>
          <w:szCs w:val="32"/>
        </w:rPr>
        <w:t>2</w:t>
      </w:r>
      <w:r w:rsidRPr="00E203A1">
        <w:rPr>
          <w:rFonts w:ascii="Arial" w:hAnsi="Arial" w:cs="Arial"/>
          <w:b/>
          <w:color w:val="002060"/>
          <w:sz w:val="32"/>
          <w:szCs w:val="32"/>
        </w:rPr>
        <w:t>5</w:t>
      </w:r>
    </w:p>
    <w:p w:rsidR="00916EAF" w:rsidRDefault="00D6000E" w:rsidP="006C2EB0">
      <w:pPr>
        <w:spacing w:before="120" w:line="360" w:lineRule="exact"/>
        <w:jc w:val="center"/>
        <w:rPr>
          <w:rFonts w:ascii="Arial" w:hAnsi="Arial" w:cs="Arial"/>
          <w:b/>
          <w:color w:val="002060"/>
          <w:sz w:val="32"/>
          <w:szCs w:val="32"/>
        </w:rPr>
      </w:pPr>
      <w:r w:rsidRPr="00E203A1">
        <w:rPr>
          <w:rFonts w:ascii="Arial" w:hAnsi="Arial" w:cs="Arial"/>
          <w:b/>
          <w:color w:val="002060"/>
          <w:sz w:val="32"/>
          <w:szCs w:val="32"/>
        </w:rPr>
        <w:t xml:space="preserve">Nỗ lực của cộng đồng doanh nghiệp thủy sản trong hội nhập </w:t>
      </w:r>
    </w:p>
    <w:p w:rsidR="00D6000E" w:rsidRPr="00E203A1" w:rsidRDefault="00D6000E" w:rsidP="006C2EB0">
      <w:pPr>
        <w:spacing w:before="120" w:line="360" w:lineRule="exact"/>
        <w:jc w:val="center"/>
        <w:rPr>
          <w:rFonts w:ascii="Arial" w:hAnsi="Arial" w:cs="Arial"/>
          <w:b/>
          <w:color w:val="002060"/>
          <w:sz w:val="32"/>
          <w:szCs w:val="32"/>
        </w:rPr>
      </w:pPr>
      <w:r w:rsidRPr="00E203A1">
        <w:rPr>
          <w:rFonts w:ascii="Arial" w:hAnsi="Arial" w:cs="Arial"/>
          <w:b/>
          <w:color w:val="002060"/>
          <w:sz w:val="32"/>
          <w:szCs w:val="32"/>
        </w:rPr>
        <w:t>và gia tăng xuất khẩu, góp phần tạo sinh kế cho nông ngư dân</w:t>
      </w:r>
    </w:p>
    <w:p w:rsidR="00D6000E" w:rsidRPr="00E203A1" w:rsidRDefault="00D6000E" w:rsidP="006C2EB0">
      <w:pPr>
        <w:spacing w:before="120" w:line="300" w:lineRule="exact"/>
        <w:jc w:val="both"/>
        <w:rPr>
          <w:rFonts w:ascii="Arial" w:hAnsi="Arial" w:cs="Arial"/>
          <w:b/>
          <w:color w:val="002060"/>
          <w:sz w:val="22"/>
        </w:rPr>
      </w:pPr>
      <w:r w:rsidRPr="00E203A1">
        <w:rPr>
          <w:rFonts w:ascii="Arial" w:hAnsi="Arial" w:cs="Arial"/>
          <w:b/>
          <w:color w:val="002060"/>
          <w:sz w:val="22"/>
        </w:rPr>
        <w:t xml:space="preserve">I. TỔNG QUAN THƯƠNG MẠI THỦY SẢN THẾ GIỚI VÀ VỊ THẾ CỦA VIỆT NAM </w:t>
      </w:r>
    </w:p>
    <w:p w:rsidR="00322CCF" w:rsidRPr="00E203A1" w:rsidRDefault="00FC11AE" w:rsidP="006C2EB0">
      <w:pPr>
        <w:spacing w:before="120" w:line="300" w:lineRule="exact"/>
        <w:jc w:val="both"/>
        <w:rPr>
          <w:rFonts w:ascii="Arial" w:hAnsi="Arial" w:cs="Arial"/>
          <w:sz w:val="22"/>
        </w:rPr>
      </w:pPr>
      <w:r w:rsidRPr="00E203A1">
        <w:rPr>
          <w:rFonts w:ascii="Arial" w:hAnsi="Arial" w:cs="Arial"/>
          <w:sz w:val="22"/>
        </w:rPr>
        <w:t xml:space="preserve">- Tổng giá trị XK thủy sản của thế giới trong giai đoạn từ 2014-2019 dao động từ 125 – 155 tỷ USD. Sau 5 năm đạt tăng trưởng 8,8% và mức tăng trưởng trung bình 5 năm là 2%. </w:t>
      </w:r>
    </w:p>
    <w:p w:rsidR="00FC11AE" w:rsidRPr="00E203A1" w:rsidRDefault="00FC11AE" w:rsidP="006C2EB0">
      <w:pPr>
        <w:spacing w:before="120" w:line="300" w:lineRule="exact"/>
        <w:jc w:val="both"/>
        <w:rPr>
          <w:rFonts w:ascii="Arial" w:hAnsi="Arial" w:cs="Arial"/>
          <w:sz w:val="22"/>
        </w:rPr>
      </w:pPr>
      <w:r w:rsidRPr="00E203A1">
        <w:rPr>
          <w:rFonts w:ascii="Arial" w:hAnsi="Arial" w:cs="Arial"/>
          <w:sz w:val="22"/>
        </w:rPr>
        <w:t>-</w:t>
      </w:r>
      <w:r w:rsidR="00F745AE" w:rsidRPr="00E203A1">
        <w:rPr>
          <w:rFonts w:ascii="Arial" w:hAnsi="Arial" w:cs="Arial"/>
          <w:sz w:val="22"/>
        </w:rPr>
        <w:t xml:space="preserve"> Từ năm 2014,</w:t>
      </w:r>
      <w:r w:rsidRPr="00E203A1">
        <w:rPr>
          <w:rFonts w:ascii="Arial" w:hAnsi="Arial" w:cs="Arial"/>
          <w:sz w:val="22"/>
        </w:rPr>
        <w:t xml:space="preserve"> </w:t>
      </w:r>
      <w:r w:rsidR="00F745AE" w:rsidRPr="00E203A1">
        <w:rPr>
          <w:rFonts w:ascii="Arial" w:hAnsi="Arial" w:cs="Arial"/>
          <w:sz w:val="22"/>
        </w:rPr>
        <w:t xml:space="preserve">Việt Nam là luôn nằm trong </w:t>
      </w:r>
      <w:r w:rsidR="00F745AE" w:rsidRPr="00E203A1">
        <w:rPr>
          <w:rFonts w:ascii="Arial" w:hAnsi="Arial" w:cs="Arial"/>
          <w:b/>
          <w:sz w:val="22"/>
          <w:u w:val="single"/>
        </w:rPr>
        <w:t>top 3</w:t>
      </w:r>
      <w:r w:rsidR="00F745AE" w:rsidRPr="00E203A1">
        <w:rPr>
          <w:rFonts w:ascii="Arial" w:hAnsi="Arial" w:cs="Arial"/>
          <w:sz w:val="22"/>
        </w:rPr>
        <w:t xml:space="preserve"> nước XK của thế giới, sau Trung Quốc và Na Uy. Trước 2014, Việt Nam đứng thứ 4 trong các nước XK thủy sản, sau cả Thái Lan. </w:t>
      </w:r>
    </w:p>
    <w:p w:rsidR="00F745AE" w:rsidRPr="00E203A1" w:rsidRDefault="00F745AE" w:rsidP="006C2EB0">
      <w:pPr>
        <w:spacing w:before="120" w:line="300" w:lineRule="exact"/>
        <w:jc w:val="both"/>
        <w:rPr>
          <w:rFonts w:ascii="Arial" w:hAnsi="Arial" w:cs="Arial"/>
          <w:sz w:val="22"/>
        </w:rPr>
      </w:pPr>
      <w:r w:rsidRPr="00E203A1">
        <w:rPr>
          <w:rFonts w:ascii="Arial" w:hAnsi="Arial" w:cs="Arial"/>
          <w:sz w:val="22"/>
        </w:rPr>
        <w:t xml:space="preserve">- </w:t>
      </w:r>
      <w:r w:rsidR="006C2EB0" w:rsidRPr="00E203A1">
        <w:rPr>
          <w:rFonts w:ascii="Arial" w:hAnsi="Arial" w:cs="Arial"/>
          <w:sz w:val="22"/>
        </w:rPr>
        <w:t xml:space="preserve">Từ mức 7,8 tỷ lên 8,8 tỷ năm 2018 và đạt 8,6 tỷ năm 2019, </w:t>
      </w:r>
      <w:r w:rsidRPr="00E203A1">
        <w:rPr>
          <w:rFonts w:ascii="Arial" w:hAnsi="Arial" w:cs="Arial"/>
          <w:sz w:val="22"/>
        </w:rPr>
        <w:t xml:space="preserve">XK thủy sản của Việt Nam </w:t>
      </w:r>
      <w:r w:rsidRPr="00E203A1">
        <w:rPr>
          <w:rFonts w:ascii="Arial" w:hAnsi="Arial" w:cs="Arial"/>
          <w:b/>
          <w:sz w:val="22"/>
          <w:u w:val="single"/>
        </w:rPr>
        <w:t>tăng trưởng ổn định</w:t>
      </w:r>
      <w:r w:rsidRPr="00E203A1">
        <w:rPr>
          <w:rFonts w:ascii="Arial" w:hAnsi="Arial" w:cs="Arial"/>
          <w:sz w:val="22"/>
        </w:rPr>
        <w:t xml:space="preserve"> so với mặt bằng chung thị trường thế giới: </w:t>
      </w:r>
      <w:r w:rsidRPr="00E203A1">
        <w:rPr>
          <w:rFonts w:ascii="Arial" w:hAnsi="Arial" w:cs="Arial"/>
          <w:b/>
          <w:sz w:val="22"/>
          <w:u w:val="single"/>
        </w:rPr>
        <w:t>tăng 9,5% sau 5 năm và tăng trưởng trung bình 2,5%.</w:t>
      </w:r>
      <w:r w:rsidRPr="00E203A1">
        <w:rPr>
          <w:rFonts w:ascii="Arial" w:hAnsi="Arial" w:cs="Arial"/>
          <w:sz w:val="22"/>
        </w:rPr>
        <w:t xml:space="preserve"> </w:t>
      </w:r>
    </w:p>
    <w:p w:rsidR="00F745AE" w:rsidRPr="00E203A1" w:rsidRDefault="00F745AE" w:rsidP="006C2EB0">
      <w:pPr>
        <w:spacing w:before="120" w:line="300" w:lineRule="exact"/>
        <w:jc w:val="both"/>
        <w:rPr>
          <w:rFonts w:ascii="Arial" w:hAnsi="Arial" w:cs="Arial"/>
          <w:sz w:val="22"/>
        </w:rPr>
      </w:pPr>
      <w:r w:rsidRPr="00E203A1">
        <w:rPr>
          <w:rFonts w:ascii="Arial" w:hAnsi="Arial" w:cs="Arial"/>
          <w:sz w:val="22"/>
        </w:rPr>
        <w:t xml:space="preserve">- Trong số các nước XK ở châu Á nằm trong top 10 của thế giới, XK của Trung Quốc và Thái Lan sa sút, Ấn Độ tăng trưởng mạnh (tăng gần 20% sau 5 năm và tăng trung bình 4,7%). </w:t>
      </w:r>
    </w:p>
    <w:p w:rsidR="00F745AE" w:rsidRPr="00E203A1" w:rsidRDefault="00F745AE" w:rsidP="006C2EB0">
      <w:pPr>
        <w:spacing w:before="120" w:line="300" w:lineRule="exact"/>
        <w:jc w:val="both"/>
        <w:rPr>
          <w:rFonts w:ascii="Arial" w:hAnsi="Arial" w:cs="Arial"/>
          <w:sz w:val="22"/>
        </w:rPr>
      </w:pPr>
      <w:r w:rsidRPr="00E203A1">
        <w:rPr>
          <w:rFonts w:ascii="Arial" w:hAnsi="Arial" w:cs="Arial"/>
          <w:sz w:val="22"/>
        </w:rPr>
        <w:t>- Cũng là một đối thủ của Việt Nam, XK của Ecuador có tăng trưởng cao (tăng 33,4% sau 5 năm và tăng trưởng trung bình 6,6%)</w:t>
      </w:r>
    </w:p>
    <w:p w:rsidR="0051229D" w:rsidRPr="00E203A1" w:rsidRDefault="0051229D" w:rsidP="006C2EB0">
      <w:pPr>
        <w:spacing w:before="120" w:line="300" w:lineRule="exact"/>
        <w:jc w:val="both"/>
        <w:rPr>
          <w:rFonts w:ascii="Arial" w:hAnsi="Arial" w:cs="Arial"/>
          <w:b/>
          <w:color w:val="002060"/>
          <w:sz w:val="26"/>
          <w:szCs w:val="26"/>
        </w:rPr>
      </w:pPr>
    </w:p>
    <w:tbl>
      <w:tblPr>
        <w:tblStyle w:val="TableGrid"/>
        <w:tblW w:w="5000" w:type="pct"/>
        <w:tblLook w:val="04A0" w:firstRow="1" w:lastRow="0" w:firstColumn="1" w:lastColumn="0" w:noHBand="0" w:noVBand="1"/>
      </w:tblPr>
      <w:tblGrid>
        <w:gridCol w:w="594"/>
        <w:gridCol w:w="1673"/>
        <w:gridCol w:w="987"/>
        <w:gridCol w:w="987"/>
        <w:gridCol w:w="989"/>
        <w:gridCol w:w="989"/>
        <w:gridCol w:w="989"/>
        <w:gridCol w:w="989"/>
        <w:gridCol w:w="1162"/>
        <w:gridCol w:w="892"/>
      </w:tblGrid>
      <w:tr w:rsidR="00322CCF" w:rsidRPr="00E203A1" w:rsidTr="00B4147B">
        <w:trPr>
          <w:trHeight w:val="450"/>
        </w:trPr>
        <w:tc>
          <w:tcPr>
            <w:tcW w:w="5000" w:type="pct"/>
            <w:gridSpan w:val="10"/>
            <w:shd w:val="clear" w:color="auto" w:fill="D9E2F3" w:themeFill="accent5" w:themeFillTint="33"/>
          </w:tcPr>
          <w:p w:rsidR="00322CCF" w:rsidRPr="00E203A1" w:rsidRDefault="00322CCF" w:rsidP="00322CCF">
            <w:pPr>
              <w:jc w:val="center"/>
              <w:rPr>
                <w:rFonts w:ascii="Arial" w:eastAsia="Times New Roman" w:hAnsi="Arial" w:cs="Arial"/>
                <w:b/>
                <w:bCs/>
                <w:sz w:val="20"/>
                <w:szCs w:val="20"/>
              </w:rPr>
            </w:pPr>
            <w:r w:rsidRPr="00E203A1">
              <w:rPr>
                <w:rFonts w:ascii="Arial" w:eastAsia="Times New Roman" w:hAnsi="Arial" w:cs="Arial"/>
                <w:b/>
                <w:bCs/>
                <w:sz w:val="20"/>
                <w:szCs w:val="20"/>
              </w:rPr>
              <w:t>Top 10 nước xuất khẩu thủy sản, 201</w:t>
            </w:r>
            <w:r w:rsidR="008307B2" w:rsidRPr="00E203A1">
              <w:rPr>
                <w:rFonts w:ascii="Arial" w:eastAsia="Times New Roman" w:hAnsi="Arial" w:cs="Arial"/>
                <w:b/>
                <w:bCs/>
                <w:sz w:val="20"/>
                <w:szCs w:val="20"/>
              </w:rPr>
              <w:t>5</w:t>
            </w:r>
            <w:r w:rsidRPr="00E203A1">
              <w:rPr>
                <w:rFonts w:ascii="Arial" w:eastAsia="Times New Roman" w:hAnsi="Arial" w:cs="Arial"/>
                <w:b/>
                <w:bCs/>
                <w:sz w:val="20"/>
                <w:szCs w:val="20"/>
              </w:rPr>
              <w:t xml:space="preserve"> – 2019 </w:t>
            </w:r>
            <w:r w:rsidR="008307B2" w:rsidRPr="00E203A1">
              <w:rPr>
                <w:rFonts w:ascii="Arial" w:eastAsia="Times New Roman" w:hAnsi="Arial" w:cs="Arial"/>
                <w:b/>
                <w:bCs/>
                <w:sz w:val="20"/>
                <w:szCs w:val="20"/>
              </w:rPr>
              <w:t>(ĐVT: tỷ USD)</w:t>
            </w:r>
          </w:p>
          <w:p w:rsidR="00322CCF" w:rsidRPr="00E203A1" w:rsidRDefault="00322CCF" w:rsidP="00322CCF">
            <w:pPr>
              <w:jc w:val="center"/>
              <w:rPr>
                <w:rFonts w:ascii="Arial" w:eastAsia="Times New Roman" w:hAnsi="Arial" w:cs="Arial"/>
                <w:b/>
                <w:bCs/>
                <w:sz w:val="20"/>
                <w:szCs w:val="20"/>
              </w:rPr>
            </w:pPr>
            <w:r w:rsidRPr="00E203A1">
              <w:rPr>
                <w:rFonts w:ascii="Arial" w:eastAsia="Times New Roman" w:hAnsi="Arial" w:cs="Arial"/>
                <w:b/>
                <w:bCs/>
                <w:sz w:val="20"/>
                <w:szCs w:val="20"/>
              </w:rPr>
              <w:t>(Nguồn: ITC)</w:t>
            </w:r>
          </w:p>
        </w:tc>
      </w:tr>
      <w:tr w:rsidR="00322CCF" w:rsidRPr="00E203A1" w:rsidTr="00B4147B">
        <w:trPr>
          <w:trHeight w:val="450"/>
        </w:trPr>
        <w:tc>
          <w:tcPr>
            <w:tcW w:w="269" w:type="pct"/>
            <w:shd w:val="clear" w:color="auto" w:fill="D9E2F3" w:themeFill="accent5" w:themeFillTint="33"/>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STT</w:t>
            </w:r>
          </w:p>
        </w:tc>
        <w:tc>
          <w:tcPr>
            <w:tcW w:w="833"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 xml:space="preserve">Nước XK </w:t>
            </w:r>
          </w:p>
        </w:tc>
        <w:tc>
          <w:tcPr>
            <w:tcW w:w="498"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2014</w:t>
            </w:r>
          </w:p>
        </w:tc>
        <w:tc>
          <w:tcPr>
            <w:tcW w:w="498"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2015</w:t>
            </w:r>
          </w:p>
        </w:tc>
        <w:tc>
          <w:tcPr>
            <w:tcW w:w="499"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2016</w:t>
            </w:r>
          </w:p>
        </w:tc>
        <w:tc>
          <w:tcPr>
            <w:tcW w:w="499"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2017</w:t>
            </w:r>
          </w:p>
        </w:tc>
        <w:tc>
          <w:tcPr>
            <w:tcW w:w="499"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2018</w:t>
            </w:r>
          </w:p>
        </w:tc>
        <w:tc>
          <w:tcPr>
            <w:tcW w:w="499" w:type="pct"/>
            <w:shd w:val="clear" w:color="auto" w:fill="D9E2F3" w:themeFill="accent5" w:themeFillTint="33"/>
            <w:hideMark/>
          </w:tcPr>
          <w:p w:rsidR="00322CCF" w:rsidRPr="00E203A1" w:rsidRDefault="00322CCF" w:rsidP="00153A6A">
            <w:pPr>
              <w:jc w:val="center"/>
              <w:rPr>
                <w:rFonts w:ascii="Arial" w:eastAsia="Times New Roman" w:hAnsi="Arial" w:cs="Arial"/>
                <w:b/>
                <w:bCs/>
                <w:sz w:val="20"/>
                <w:szCs w:val="20"/>
              </w:rPr>
            </w:pPr>
            <w:r w:rsidRPr="00E203A1">
              <w:rPr>
                <w:rFonts w:ascii="Arial" w:eastAsia="Times New Roman" w:hAnsi="Arial" w:cs="Arial"/>
                <w:b/>
                <w:bCs/>
                <w:sz w:val="20"/>
                <w:szCs w:val="20"/>
              </w:rPr>
              <w:t>2019</w:t>
            </w:r>
          </w:p>
        </w:tc>
        <w:tc>
          <w:tcPr>
            <w:tcW w:w="510" w:type="pct"/>
            <w:shd w:val="clear" w:color="auto" w:fill="D9E2F3" w:themeFill="accent5" w:themeFillTint="33"/>
            <w:hideMark/>
          </w:tcPr>
          <w:p w:rsidR="00322CCF" w:rsidRPr="00E203A1" w:rsidRDefault="00322CCF" w:rsidP="008307B2">
            <w:pPr>
              <w:jc w:val="center"/>
              <w:rPr>
                <w:rFonts w:ascii="Arial" w:eastAsia="Times New Roman" w:hAnsi="Arial" w:cs="Arial"/>
                <w:b/>
                <w:bCs/>
                <w:sz w:val="20"/>
                <w:szCs w:val="20"/>
              </w:rPr>
            </w:pPr>
            <w:r w:rsidRPr="00E203A1">
              <w:rPr>
                <w:rFonts w:ascii="Arial" w:eastAsia="Times New Roman" w:hAnsi="Arial" w:cs="Arial"/>
                <w:b/>
                <w:bCs/>
                <w:sz w:val="20"/>
                <w:szCs w:val="20"/>
              </w:rPr>
              <w:t>Tăng trưởng 2019/201</w:t>
            </w:r>
            <w:r w:rsidR="008307B2" w:rsidRPr="00E203A1">
              <w:rPr>
                <w:rFonts w:ascii="Arial" w:eastAsia="Times New Roman" w:hAnsi="Arial" w:cs="Arial"/>
                <w:b/>
                <w:bCs/>
                <w:sz w:val="20"/>
                <w:szCs w:val="20"/>
              </w:rPr>
              <w:t>5</w:t>
            </w:r>
            <w:r w:rsidRPr="00E203A1">
              <w:rPr>
                <w:rFonts w:ascii="Arial" w:eastAsia="Times New Roman" w:hAnsi="Arial" w:cs="Arial"/>
                <w:b/>
                <w:bCs/>
                <w:sz w:val="20"/>
                <w:szCs w:val="20"/>
              </w:rPr>
              <w:t xml:space="preserve"> (%) </w:t>
            </w:r>
          </w:p>
        </w:tc>
        <w:tc>
          <w:tcPr>
            <w:tcW w:w="394" w:type="pct"/>
            <w:shd w:val="clear" w:color="auto" w:fill="D9E2F3" w:themeFill="accent5" w:themeFillTint="33"/>
            <w:hideMark/>
          </w:tcPr>
          <w:p w:rsidR="00322CCF" w:rsidRPr="00E203A1" w:rsidRDefault="00322CCF" w:rsidP="008307B2">
            <w:pPr>
              <w:jc w:val="center"/>
              <w:rPr>
                <w:rFonts w:ascii="Arial" w:eastAsia="Times New Roman" w:hAnsi="Arial" w:cs="Arial"/>
                <w:b/>
                <w:bCs/>
                <w:sz w:val="20"/>
                <w:szCs w:val="20"/>
              </w:rPr>
            </w:pPr>
            <w:r w:rsidRPr="00E203A1">
              <w:rPr>
                <w:rFonts w:ascii="Arial" w:eastAsia="Times New Roman" w:hAnsi="Arial" w:cs="Arial"/>
                <w:b/>
                <w:bCs/>
                <w:sz w:val="20"/>
                <w:szCs w:val="20"/>
              </w:rPr>
              <w:t>Tăng trưởng TB 201</w:t>
            </w:r>
            <w:r w:rsidR="008307B2" w:rsidRPr="00E203A1">
              <w:rPr>
                <w:rFonts w:ascii="Arial" w:eastAsia="Times New Roman" w:hAnsi="Arial" w:cs="Arial"/>
                <w:b/>
                <w:bCs/>
                <w:sz w:val="20"/>
                <w:szCs w:val="20"/>
              </w:rPr>
              <w:t>5</w:t>
            </w:r>
            <w:r w:rsidRPr="00E203A1">
              <w:rPr>
                <w:rFonts w:ascii="Arial" w:eastAsia="Times New Roman" w:hAnsi="Arial" w:cs="Arial"/>
                <w:b/>
                <w:bCs/>
                <w:sz w:val="20"/>
                <w:szCs w:val="20"/>
              </w:rPr>
              <w:t xml:space="preserve">-2019 </w:t>
            </w: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b/>
                <w:sz w:val="20"/>
                <w:szCs w:val="20"/>
              </w:rPr>
            </w:pPr>
          </w:p>
        </w:tc>
        <w:tc>
          <w:tcPr>
            <w:tcW w:w="833" w:type="pct"/>
            <w:hideMark/>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 xml:space="preserve">Tổng TG </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140,208</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125,248</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134,856</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146,454</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155,608</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152,489</w:t>
            </w:r>
          </w:p>
        </w:tc>
        <w:tc>
          <w:tcPr>
            <w:tcW w:w="510" w:type="pct"/>
            <w:noWrap/>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8</w:t>
            </w:r>
            <w:r w:rsidR="00FC11AE" w:rsidRPr="00E203A1">
              <w:rPr>
                <w:rFonts w:ascii="Arial" w:eastAsia="Times New Roman" w:hAnsi="Arial" w:cs="Arial"/>
                <w:b/>
                <w:sz w:val="20"/>
                <w:szCs w:val="20"/>
              </w:rPr>
              <w:t>,</w:t>
            </w:r>
            <w:r w:rsidRPr="00E203A1">
              <w:rPr>
                <w:rFonts w:ascii="Arial" w:eastAsia="Times New Roman" w:hAnsi="Arial" w:cs="Arial"/>
                <w:b/>
                <w:sz w:val="20"/>
                <w:szCs w:val="20"/>
              </w:rPr>
              <w:t>8</w:t>
            </w:r>
          </w:p>
        </w:tc>
        <w:tc>
          <w:tcPr>
            <w:tcW w:w="394" w:type="pct"/>
            <w:noWrap/>
            <w:hideMark/>
          </w:tcPr>
          <w:p w:rsidR="00322CCF" w:rsidRPr="00E203A1" w:rsidRDefault="00322CCF" w:rsidP="00153A6A">
            <w:pPr>
              <w:jc w:val="right"/>
              <w:rPr>
                <w:rFonts w:ascii="Arial" w:eastAsia="Times New Roman" w:hAnsi="Arial" w:cs="Arial"/>
                <w:sz w:val="20"/>
                <w:szCs w:val="20"/>
              </w:rPr>
            </w:pP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sz w:val="20"/>
                <w:szCs w:val="20"/>
              </w:rPr>
            </w:pPr>
          </w:p>
        </w:tc>
        <w:tc>
          <w:tcPr>
            <w:tcW w:w="833" w:type="pct"/>
            <w:hideMark/>
          </w:tcPr>
          <w:p w:rsidR="00322CCF" w:rsidRPr="00E203A1" w:rsidRDefault="00322CCF" w:rsidP="00153A6A">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-10</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8</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510" w:type="pct"/>
            <w:noWrap/>
            <w:hideMark/>
          </w:tcPr>
          <w:p w:rsidR="00322CCF" w:rsidRPr="00E203A1" w:rsidRDefault="00322CCF" w:rsidP="00153A6A">
            <w:pPr>
              <w:jc w:val="right"/>
              <w:rPr>
                <w:rFonts w:ascii="Arial" w:eastAsia="Times New Roman" w:hAnsi="Arial" w:cs="Arial"/>
                <w:sz w:val="20"/>
                <w:szCs w:val="20"/>
              </w:rPr>
            </w:pPr>
          </w:p>
        </w:tc>
        <w:tc>
          <w:tcPr>
            <w:tcW w:w="394"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1</w:t>
            </w:r>
          </w:p>
        </w:tc>
        <w:tc>
          <w:tcPr>
            <w:tcW w:w="833" w:type="pct"/>
            <w:hideMark/>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Trung Quốc</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20,868</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19,574</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19,999</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20,412</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21,545</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19,939</w:t>
            </w:r>
          </w:p>
        </w:tc>
        <w:tc>
          <w:tcPr>
            <w:tcW w:w="510" w:type="pct"/>
            <w:noWrap/>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-4</w:t>
            </w:r>
            <w:r w:rsidR="00FC11AE" w:rsidRPr="00E203A1">
              <w:rPr>
                <w:rFonts w:ascii="Arial" w:eastAsia="Times New Roman" w:hAnsi="Arial" w:cs="Arial"/>
                <w:b/>
                <w:sz w:val="20"/>
                <w:szCs w:val="20"/>
              </w:rPr>
              <w:t>,</w:t>
            </w:r>
            <w:r w:rsidRPr="00E203A1">
              <w:rPr>
                <w:rFonts w:ascii="Arial" w:eastAsia="Times New Roman" w:hAnsi="Arial" w:cs="Arial"/>
                <w:b/>
                <w:sz w:val="20"/>
                <w:szCs w:val="20"/>
              </w:rPr>
              <w:t>5</w:t>
            </w:r>
          </w:p>
        </w:tc>
        <w:tc>
          <w:tcPr>
            <w:tcW w:w="394" w:type="pct"/>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 </w:t>
            </w: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sz w:val="20"/>
                <w:szCs w:val="20"/>
              </w:rPr>
            </w:pPr>
          </w:p>
        </w:tc>
        <w:tc>
          <w:tcPr>
            <w:tcW w:w="833" w:type="pct"/>
            <w:hideMark/>
          </w:tcPr>
          <w:p w:rsidR="00322CCF" w:rsidRPr="00E203A1" w:rsidRDefault="00322CCF" w:rsidP="00153A6A">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510" w:type="pct"/>
            <w:noWrap/>
            <w:hideMark/>
          </w:tcPr>
          <w:p w:rsidR="00322CCF" w:rsidRPr="00E203A1" w:rsidRDefault="00322CCF" w:rsidP="00153A6A">
            <w:pPr>
              <w:jc w:val="right"/>
              <w:rPr>
                <w:rFonts w:ascii="Arial" w:eastAsia="Times New Roman" w:hAnsi="Arial" w:cs="Arial"/>
                <w:sz w:val="20"/>
                <w:szCs w:val="20"/>
              </w:rPr>
            </w:pPr>
          </w:p>
        </w:tc>
        <w:tc>
          <w:tcPr>
            <w:tcW w:w="394"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-0</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sz w:val="20"/>
                <w:szCs w:val="20"/>
              </w:rPr>
            </w:pPr>
          </w:p>
        </w:tc>
        <w:tc>
          <w:tcPr>
            <w:tcW w:w="833" w:type="pct"/>
            <w:hideMark/>
          </w:tcPr>
          <w:p w:rsidR="00322CCF" w:rsidRPr="00E203A1" w:rsidRDefault="00322CCF" w:rsidP="00153A6A">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14</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8"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15</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14</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13</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13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510" w:type="pct"/>
            <w:noWrap/>
            <w:hideMark/>
          </w:tcPr>
          <w:p w:rsidR="00322CCF" w:rsidRPr="00E203A1" w:rsidRDefault="00322CCF" w:rsidP="00153A6A">
            <w:pPr>
              <w:jc w:val="right"/>
              <w:rPr>
                <w:rFonts w:ascii="Arial" w:eastAsia="Times New Roman" w:hAnsi="Arial" w:cs="Arial"/>
                <w:sz w:val="20"/>
                <w:szCs w:val="20"/>
              </w:rPr>
            </w:pPr>
          </w:p>
        </w:tc>
        <w:tc>
          <w:tcPr>
            <w:tcW w:w="394" w:type="pct"/>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2</w:t>
            </w:r>
          </w:p>
        </w:tc>
        <w:tc>
          <w:tcPr>
            <w:tcW w:w="833" w:type="pct"/>
            <w:hideMark/>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 xml:space="preserve">Na Uy </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10,596</w:t>
            </w:r>
          </w:p>
        </w:tc>
        <w:tc>
          <w:tcPr>
            <w:tcW w:w="498"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8,872</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10,547</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11,098</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11,751</w:t>
            </w:r>
          </w:p>
        </w:tc>
        <w:tc>
          <w:tcPr>
            <w:tcW w:w="499" w:type="pct"/>
            <w:vAlign w:val="bottom"/>
            <w:hideMark/>
          </w:tcPr>
          <w:p w:rsidR="00322CCF" w:rsidRPr="00E203A1" w:rsidRDefault="00322CCF" w:rsidP="00153A6A">
            <w:pPr>
              <w:jc w:val="right"/>
              <w:rPr>
                <w:rFonts w:ascii="Arial" w:hAnsi="Arial" w:cs="Arial"/>
                <w:b/>
                <w:color w:val="000000"/>
                <w:sz w:val="20"/>
                <w:szCs w:val="20"/>
              </w:rPr>
            </w:pPr>
            <w:r w:rsidRPr="00E203A1">
              <w:rPr>
                <w:rFonts w:ascii="Arial" w:hAnsi="Arial" w:cs="Arial"/>
                <w:b/>
                <w:color w:val="000000"/>
                <w:sz w:val="20"/>
                <w:szCs w:val="20"/>
              </w:rPr>
              <w:t>11,732</w:t>
            </w:r>
          </w:p>
        </w:tc>
        <w:tc>
          <w:tcPr>
            <w:tcW w:w="510" w:type="pct"/>
            <w:noWrap/>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10</w:t>
            </w:r>
            <w:r w:rsidR="00FC11AE" w:rsidRPr="00E203A1">
              <w:rPr>
                <w:rFonts w:ascii="Arial" w:eastAsia="Times New Roman" w:hAnsi="Arial" w:cs="Arial"/>
                <w:b/>
                <w:sz w:val="20"/>
                <w:szCs w:val="20"/>
              </w:rPr>
              <w:t>,</w:t>
            </w:r>
            <w:r w:rsidRPr="00E203A1">
              <w:rPr>
                <w:rFonts w:ascii="Arial" w:eastAsia="Times New Roman" w:hAnsi="Arial" w:cs="Arial"/>
                <w:b/>
                <w:sz w:val="20"/>
                <w:szCs w:val="20"/>
              </w:rPr>
              <w:t>7</w:t>
            </w:r>
          </w:p>
        </w:tc>
        <w:tc>
          <w:tcPr>
            <w:tcW w:w="394" w:type="pct"/>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-16</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18</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-0</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shd w:val="clear" w:color="auto" w:fill="A8D08D" w:themeFill="accent6" w:themeFillTint="99"/>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3</w:t>
            </w:r>
          </w:p>
        </w:tc>
        <w:tc>
          <w:tcPr>
            <w:tcW w:w="833" w:type="pct"/>
            <w:shd w:val="clear" w:color="auto" w:fill="A8D08D" w:themeFill="accent6" w:themeFillTint="99"/>
            <w:hideMark/>
          </w:tcPr>
          <w:p w:rsidR="00322CCF" w:rsidRPr="00E203A1" w:rsidRDefault="00322CCF" w:rsidP="00153A6A">
            <w:pPr>
              <w:rPr>
                <w:rFonts w:ascii="Arial" w:eastAsia="Times New Roman" w:hAnsi="Arial" w:cs="Arial"/>
                <w:b/>
                <w:sz w:val="20"/>
                <w:szCs w:val="20"/>
              </w:rPr>
            </w:pPr>
            <w:r w:rsidRPr="00E203A1">
              <w:rPr>
                <w:rFonts w:ascii="Arial" w:eastAsia="Times New Roman" w:hAnsi="Arial" w:cs="Arial"/>
                <w:b/>
                <w:sz w:val="20"/>
                <w:szCs w:val="20"/>
              </w:rPr>
              <w:t xml:space="preserve">Việt Nam </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7,836</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6,573</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7,053</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8,316</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8,802</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8,578</w:t>
            </w:r>
          </w:p>
        </w:tc>
        <w:tc>
          <w:tcPr>
            <w:tcW w:w="510" w:type="pct"/>
            <w:shd w:val="clear" w:color="auto" w:fill="A8D08D" w:themeFill="accent6" w:themeFillTint="99"/>
            <w:noWrap/>
            <w:hideMark/>
          </w:tcPr>
          <w:p w:rsidR="00322CCF" w:rsidRPr="00E203A1" w:rsidRDefault="00322CCF" w:rsidP="00153A6A">
            <w:pPr>
              <w:jc w:val="right"/>
              <w:rPr>
                <w:rFonts w:ascii="Arial" w:eastAsia="Times New Roman" w:hAnsi="Arial" w:cs="Arial"/>
                <w:b/>
                <w:sz w:val="20"/>
                <w:szCs w:val="20"/>
              </w:rPr>
            </w:pPr>
            <w:r w:rsidRPr="00E203A1">
              <w:rPr>
                <w:rFonts w:ascii="Arial" w:eastAsia="Times New Roman" w:hAnsi="Arial" w:cs="Arial"/>
                <w:b/>
                <w:sz w:val="20"/>
                <w:szCs w:val="20"/>
              </w:rPr>
              <w:t>9</w:t>
            </w:r>
            <w:r w:rsidR="00FC11AE" w:rsidRPr="00E203A1">
              <w:rPr>
                <w:rFonts w:ascii="Arial" w:eastAsia="Times New Roman" w:hAnsi="Arial" w:cs="Arial"/>
                <w:b/>
                <w:sz w:val="20"/>
                <w:szCs w:val="20"/>
              </w:rPr>
              <w:t>,</w:t>
            </w:r>
            <w:r w:rsidRPr="00E203A1">
              <w:rPr>
                <w:rFonts w:ascii="Arial" w:eastAsia="Times New Roman" w:hAnsi="Arial" w:cs="Arial"/>
                <w:b/>
                <w:sz w:val="20"/>
                <w:szCs w:val="20"/>
              </w:rPr>
              <w:t>5</w:t>
            </w:r>
          </w:p>
        </w:tc>
        <w:tc>
          <w:tcPr>
            <w:tcW w:w="394" w:type="pct"/>
            <w:shd w:val="clear" w:color="auto" w:fill="A8D08D" w:themeFill="accent6" w:themeFillTint="99"/>
            <w:hideMark/>
          </w:tcPr>
          <w:p w:rsidR="00322CCF" w:rsidRPr="00E203A1" w:rsidRDefault="00322CCF" w:rsidP="00153A6A">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shd w:val="clear" w:color="auto" w:fill="A8D08D" w:themeFill="accent6" w:themeFillTint="99"/>
          </w:tcPr>
          <w:p w:rsidR="00322CCF" w:rsidRPr="00E203A1" w:rsidRDefault="00322CCF" w:rsidP="00322CCF">
            <w:pPr>
              <w:rPr>
                <w:rFonts w:ascii="Arial" w:eastAsia="Times New Roman" w:hAnsi="Arial" w:cs="Arial"/>
                <w:sz w:val="20"/>
                <w:szCs w:val="20"/>
              </w:rPr>
            </w:pPr>
          </w:p>
        </w:tc>
        <w:tc>
          <w:tcPr>
            <w:tcW w:w="833" w:type="pct"/>
            <w:shd w:val="clear" w:color="auto" w:fill="A8D08D" w:themeFill="accent6" w:themeFillTint="99"/>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-16</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17</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510" w:type="pct"/>
            <w:shd w:val="clear" w:color="auto" w:fill="A8D08D" w:themeFill="accent6" w:themeFillTint="99"/>
            <w:noWrap/>
            <w:hideMark/>
          </w:tcPr>
          <w:p w:rsidR="00322CCF" w:rsidRPr="00E203A1" w:rsidRDefault="00322CCF" w:rsidP="00322CCF">
            <w:pPr>
              <w:jc w:val="right"/>
              <w:rPr>
                <w:rFonts w:ascii="Arial" w:eastAsia="Times New Roman" w:hAnsi="Arial" w:cs="Arial"/>
                <w:sz w:val="20"/>
                <w:szCs w:val="20"/>
              </w:rPr>
            </w:pPr>
          </w:p>
        </w:tc>
        <w:tc>
          <w:tcPr>
            <w:tcW w:w="394"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r>
      <w:tr w:rsidR="00322CCF" w:rsidRPr="00E203A1" w:rsidTr="00322CCF">
        <w:trPr>
          <w:trHeight w:val="300"/>
        </w:trPr>
        <w:tc>
          <w:tcPr>
            <w:tcW w:w="269" w:type="pct"/>
            <w:shd w:val="clear" w:color="auto" w:fill="A8D08D" w:themeFill="accent6" w:themeFillTint="99"/>
          </w:tcPr>
          <w:p w:rsidR="00322CCF" w:rsidRPr="00E203A1" w:rsidRDefault="00322CCF" w:rsidP="00322CCF">
            <w:pPr>
              <w:rPr>
                <w:rFonts w:ascii="Arial" w:eastAsia="Times New Roman" w:hAnsi="Arial" w:cs="Arial"/>
                <w:sz w:val="20"/>
                <w:szCs w:val="20"/>
              </w:rPr>
            </w:pPr>
          </w:p>
        </w:tc>
        <w:tc>
          <w:tcPr>
            <w:tcW w:w="833" w:type="pct"/>
            <w:shd w:val="clear" w:color="auto" w:fill="A8D08D" w:themeFill="accent6" w:themeFillTint="99"/>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8"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5</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510" w:type="pct"/>
            <w:shd w:val="clear" w:color="auto" w:fill="A8D08D" w:themeFill="accent6" w:themeFillTint="99"/>
            <w:noWrap/>
            <w:hideMark/>
          </w:tcPr>
          <w:p w:rsidR="00322CCF" w:rsidRPr="00E203A1" w:rsidRDefault="00322CCF" w:rsidP="00322CCF">
            <w:pPr>
              <w:jc w:val="right"/>
              <w:rPr>
                <w:rFonts w:ascii="Arial" w:eastAsia="Times New Roman" w:hAnsi="Arial" w:cs="Arial"/>
                <w:sz w:val="20"/>
                <w:szCs w:val="20"/>
              </w:rPr>
            </w:pPr>
          </w:p>
        </w:tc>
        <w:tc>
          <w:tcPr>
            <w:tcW w:w="394" w:type="pct"/>
            <w:shd w:val="clear" w:color="auto" w:fill="A8D08D" w:themeFill="accent6" w:themeFillTint="99"/>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4</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 xml:space="preserve">Ấn Độ </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5,503</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4,778</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5,500</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7,043</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6,825</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6,597</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19</w:t>
            </w:r>
            <w:r w:rsidR="00FC11AE" w:rsidRPr="00E203A1">
              <w:rPr>
                <w:rFonts w:ascii="Arial" w:eastAsia="Times New Roman" w:hAnsi="Arial" w:cs="Arial"/>
                <w:b/>
                <w:sz w:val="20"/>
                <w:szCs w:val="20"/>
              </w:rPr>
              <w:t>,</w:t>
            </w:r>
            <w:r w:rsidRPr="00E203A1">
              <w:rPr>
                <w:rFonts w:ascii="Arial" w:eastAsia="Times New Roman" w:hAnsi="Arial" w:cs="Arial"/>
                <w:b/>
                <w:sz w:val="20"/>
                <w:szCs w:val="20"/>
              </w:rPr>
              <w:t>9</w:t>
            </w:r>
          </w:p>
        </w:tc>
        <w:tc>
          <w:tcPr>
            <w:tcW w:w="394" w:type="pct"/>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-13</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15</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28</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5</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Chile</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5,291</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4,360</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4,709</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5,606</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6,261</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6,136</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16</w:t>
            </w:r>
            <w:r w:rsidR="00FC11AE" w:rsidRPr="00E203A1">
              <w:rPr>
                <w:rFonts w:ascii="Arial" w:eastAsia="Times New Roman" w:hAnsi="Arial" w:cs="Arial"/>
                <w:b/>
                <w:sz w:val="20"/>
                <w:szCs w:val="20"/>
              </w:rPr>
              <w:t>,</w:t>
            </w:r>
            <w:r w:rsidRPr="00E203A1">
              <w:rPr>
                <w:rFonts w:ascii="Arial" w:eastAsia="Times New Roman" w:hAnsi="Arial" w:cs="Arial"/>
                <w:b/>
                <w:sz w:val="20"/>
                <w:szCs w:val="20"/>
              </w:rPr>
              <w:t>0</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-17</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8</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19</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11</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6</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Canada</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4,485</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4,699</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4,984</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5,319</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5,399</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5,648</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25</w:t>
            </w:r>
            <w:r w:rsidR="00FC11AE" w:rsidRPr="00E203A1">
              <w:rPr>
                <w:rFonts w:ascii="Arial" w:eastAsia="Times New Roman" w:hAnsi="Arial" w:cs="Arial"/>
                <w:b/>
                <w:sz w:val="20"/>
                <w:szCs w:val="20"/>
              </w:rPr>
              <w:t>,</w:t>
            </w:r>
            <w:r w:rsidRPr="00E203A1">
              <w:rPr>
                <w:rFonts w:ascii="Arial" w:eastAsia="Times New Roman" w:hAnsi="Arial" w:cs="Arial"/>
                <w:b/>
                <w:sz w:val="20"/>
                <w:szCs w:val="20"/>
              </w:rPr>
              <w:t>9</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7</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 xml:space="preserve">Thái Lan </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6,420</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5,418</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5,602</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5,845</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5,823</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5,599</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-12</w:t>
            </w:r>
            <w:r w:rsidR="00FC11AE" w:rsidRPr="00E203A1">
              <w:rPr>
                <w:rFonts w:ascii="Arial" w:eastAsia="Times New Roman" w:hAnsi="Arial" w:cs="Arial"/>
                <w:b/>
                <w:sz w:val="20"/>
                <w:szCs w:val="20"/>
              </w:rPr>
              <w:t>,</w:t>
            </w:r>
            <w:r w:rsidRPr="00E203A1">
              <w:rPr>
                <w:rFonts w:ascii="Arial" w:eastAsia="Times New Roman" w:hAnsi="Arial" w:cs="Arial"/>
                <w:b/>
                <w:sz w:val="20"/>
                <w:szCs w:val="20"/>
              </w:rPr>
              <w:t>8</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-15</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-0</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7</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8</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Ecuador</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4,086</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3,506</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3,754</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4,471</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4,805</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5,449</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33</w:t>
            </w:r>
            <w:r w:rsidR="00FC11AE" w:rsidRPr="00E203A1">
              <w:rPr>
                <w:rFonts w:ascii="Arial" w:eastAsia="Times New Roman" w:hAnsi="Arial" w:cs="Arial"/>
                <w:b/>
                <w:sz w:val="20"/>
                <w:szCs w:val="20"/>
              </w:rPr>
              <w:t>,</w:t>
            </w:r>
            <w:r w:rsidRPr="00E203A1">
              <w:rPr>
                <w:rFonts w:ascii="Arial" w:eastAsia="Times New Roman" w:hAnsi="Arial" w:cs="Arial"/>
                <w:b/>
                <w:sz w:val="20"/>
                <w:szCs w:val="20"/>
              </w:rPr>
              <w:t>4</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-14</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19</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7</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13</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9</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Mỹ</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5,780</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5,592</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5,417</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5,761</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5,633</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5,247</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-9</w:t>
            </w:r>
            <w:r w:rsidR="00FC11AE" w:rsidRPr="00E203A1">
              <w:rPr>
                <w:rFonts w:ascii="Arial" w:eastAsia="Times New Roman" w:hAnsi="Arial" w:cs="Arial"/>
                <w:b/>
                <w:sz w:val="20"/>
                <w:szCs w:val="20"/>
              </w:rPr>
              <w:t>,</w:t>
            </w:r>
            <w:r w:rsidRPr="00E203A1">
              <w:rPr>
                <w:rFonts w:ascii="Arial" w:eastAsia="Times New Roman" w:hAnsi="Arial" w:cs="Arial"/>
                <w:b/>
                <w:sz w:val="20"/>
                <w:szCs w:val="20"/>
              </w:rPr>
              <w:t>2</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-6</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0</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10</w:t>
            </w:r>
          </w:p>
        </w:tc>
        <w:tc>
          <w:tcPr>
            <w:tcW w:w="833" w:type="pct"/>
            <w:hideMark/>
          </w:tcPr>
          <w:p w:rsidR="00322CCF" w:rsidRPr="00E203A1" w:rsidRDefault="00322CCF" w:rsidP="00322CCF">
            <w:pPr>
              <w:rPr>
                <w:rFonts w:ascii="Arial" w:eastAsia="Times New Roman" w:hAnsi="Arial" w:cs="Arial"/>
                <w:b/>
                <w:sz w:val="20"/>
                <w:szCs w:val="20"/>
              </w:rPr>
            </w:pPr>
            <w:r w:rsidRPr="00E203A1">
              <w:rPr>
                <w:rFonts w:ascii="Arial" w:eastAsia="Times New Roman" w:hAnsi="Arial" w:cs="Arial"/>
                <w:b/>
                <w:sz w:val="20"/>
                <w:szCs w:val="20"/>
              </w:rPr>
              <w:t>Nga</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2,929</w:t>
            </w:r>
          </w:p>
        </w:tc>
        <w:tc>
          <w:tcPr>
            <w:tcW w:w="498"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2,784</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3,061</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3,544</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4,358</w:t>
            </w:r>
          </w:p>
        </w:tc>
        <w:tc>
          <w:tcPr>
            <w:tcW w:w="499" w:type="pct"/>
            <w:vAlign w:val="bottom"/>
            <w:hideMark/>
          </w:tcPr>
          <w:p w:rsidR="00322CCF" w:rsidRPr="00E203A1" w:rsidRDefault="00322CCF" w:rsidP="00322CCF">
            <w:pPr>
              <w:jc w:val="right"/>
              <w:rPr>
                <w:rFonts w:ascii="Arial" w:hAnsi="Arial" w:cs="Arial"/>
                <w:b/>
                <w:color w:val="000000"/>
                <w:sz w:val="20"/>
                <w:szCs w:val="20"/>
              </w:rPr>
            </w:pPr>
            <w:r w:rsidRPr="00E203A1">
              <w:rPr>
                <w:rFonts w:ascii="Arial" w:hAnsi="Arial" w:cs="Arial"/>
                <w:b/>
                <w:color w:val="000000"/>
                <w:sz w:val="20"/>
                <w:szCs w:val="20"/>
              </w:rPr>
              <w:t>4,733</w:t>
            </w:r>
          </w:p>
        </w:tc>
        <w:tc>
          <w:tcPr>
            <w:tcW w:w="510" w:type="pct"/>
            <w:noWrap/>
            <w:hideMark/>
          </w:tcPr>
          <w:p w:rsidR="00322CCF" w:rsidRPr="00E203A1" w:rsidRDefault="00322CCF" w:rsidP="00322CCF">
            <w:pPr>
              <w:jc w:val="right"/>
              <w:rPr>
                <w:rFonts w:ascii="Arial" w:eastAsia="Times New Roman" w:hAnsi="Arial" w:cs="Arial"/>
                <w:b/>
                <w:sz w:val="20"/>
                <w:szCs w:val="20"/>
              </w:rPr>
            </w:pPr>
            <w:r w:rsidRPr="00E203A1">
              <w:rPr>
                <w:rFonts w:ascii="Arial" w:eastAsia="Times New Roman" w:hAnsi="Arial" w:cs="Arial"/>
                <w:b/>
                <w:sz w:val="20"/>
                <w:szCs w:val="20"/>
              </w:rPr>
              <w:t>61</w:t>
            </w:r>
            <w:r w:rsidR="00FC11AE" w:rsidRPr="00E203A1">
              <w:rPr>
                <w:rFonts w:ascii="Arial" w:eastAsia="Times New Roman" w:hAnsi="Arial" w:cs="Arial"/>
                <w:b/>
                <w:sz w:val="20"/>
                <w:szCs w:val="20"/>
              </w:rPr>
              <w:t>,</w:t>
            </w:r>
            <w:r w:rsidRPr="00E203A1">
              <w:rPr>
                <w:rFonts w:ascii="Arial" w:eastAsia="Times New Roman" w:hAnsi="Arial" w:cs="Arial"/>
                <w:b/>
                <w:sz w:val="20"/>
                <w:szCs w:val="20"/>
              </w:rPr>
              <w:t>6</w:t>
            </w: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Tăng trưởng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-4</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9</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15</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22</w:t>
            </w:r>
            <w:r w:rsidR="00FC11AE" w:rsidRPr="00E203A1">
              <w:rPr>
                <w:rFonts w:ascii="Arial" w:eastAsia="Times New Roman" w:hAnsi="Arial" w:cs="Arial"/>
                <w:sz w:val="20"/>
                <w:szCs w:val="20"/>
              </w:rPr>
              <w:t>,</w:t>
            </w:r>
            <w:r w:rsidRPr="00E203A1">
              <w:rPr>
                <w:rFonts w:ascii="Arial" w:eastAsia="Times New Roman" w:hAnsi="Arial" w:cs="Arial"/>
                <w:sz w:val="20"/>
                <w:szCs w:val="20"/>
              </w:rPr>
              <w:t>9</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8</w:t>
            </w:r>
            <w:r w:rsidR="00FC11AE" w:rsidRPr="00E203A1">
              <w:rPr>
                <w:rFonts w:ascii="Arial" w:eastAsia="Times New Roman" w:hAnsi="Arial" w:cs="Arial"/>
                <w:sz w:val="20"/>
                <w:szCs w:val="20"/>
              </w:rPr>
              <w:t>,</w:t>
            </w:r>
            <w:r w:rsidRPr="00E203A1">
              <w:rPr>
                <w:rFonts w:ascii="Arial" w:eastAsia="Times New Roman" w:hAnsi="Arial" w:cs="Arial"/>
                <w:sz w:val="20"/>
                <w:szCs w:val="20"/>
              </w:rPr>
              <w:t>6</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10</w:t>
            </w:r>
            <w:r w:rsidR="00FC11AE" w:rsidRPr="00E203A1">
              <w:rPr>
                <w:rFonts w:ascii="Arial" w:eastAsia="Times New Roman" w:hAnsi="Arial" w:cs="Arial"/>
                <w:sz w:val="20"/>
                <w:szCs w:val="20"/>
              </w:rPr>
              <w:t>,</w:t>
            </w:r>
            <w:r w:rsidRPr="00E203A1">
              <w:rPr>
                <w:rFonts w:ascii="Arial" w:eastAsia="Times New Roman" w:hAnsi="Arial" w:cs="Arial"/>
                <w:sz w:val="20"/>
                <w:szCs w:val="20"/>
              </w:rPr>
              <w:t>5</w:t>
            </w:r>
          </w:p>
        </w:tc>
      </w:tr>
      <w:tr w:rsidR="00322CCF" w:rsidRPr="00E203A1" w:rsidTr="00322CCF">
        <w:trPr>
          <w:trHeight w:val="300"/>
        </w:trPr>
        <w:tc>
          <w:tcPr>
            <w:tcW w:w="269" w:type="pct"/>
          </w:tcPr>
          <w:p w:rsidR="00322CCF" w:rsidRPr="00E203A1" w:rsidRDefault="00322CCF" w:rsidP="00322CCF">
            <w:pPr>
              <w:rPr>
                <w:rFonts w:ascii="Arial" w:eastAsia="Times New Roman" w:hAnsi="Arial" w:cs="Arial"/>
                <w:sz w:val="20"/>
                <w:szCs w:val="20"/>
              </w:rPr>
            </w:pPr>
          </w:p>
        </w:tc>
        <w:tc>
          <w:tcPr>
            <w:tcW w:w="833" w:type="pct"/>
            <w:hideMark/>
          </w:tcPr>
          <w:p w:rsidR="00322CCF" w:rsidRPr="00E203A1" w:rsidRDefault="00322CCF" w:rsidP="00322CCF">
            <w:pPr>
              <w:rPr>
                <w:rFonts w:ascii="Arial" w:eastAsia="Times New Roman" w:hAnsi="Arial" w:cs="Arial"/>
                <w:sz w:val="20"/>
                <w:szCs w:val="20"/>
              </w:rPr>
            </w:pPr>
            <w:r w:rsidRPr="00E203A1">
              <w:rPr>
                <w:rFonts w:ascii="Arial" w:eastAsia="Times New Roman" w:hAnsi="Arial" w:cs="Arial"/>
                <w:sz w:val="20"/>
                <w:szCs w:val="20"/>
              </w:rPr>
              <w:t> Thị phần (%)</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498"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2</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3</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4</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2</w:t>
            </w:r>
            <w:r w:rsidR="00FC11AE" w:rsidRPr="00E203A1">
              <w:rPr>
                <w:rFonts w:ascii="Arial" w:eastAsia="Times New Roman" w:hAnsi="Arial" w:cs="Arial"/>
                <w:sz w:val="20"/>
                <w:szCs w:val="20"/>
              </w:rPr>
              <w:t>,</w:t>
            </w:r>
            <w:r w:rsidRPr="00E203A1">
              <w:rPr>
                <w:rFonts w:ascii="Arial" w:eastAsia="Times New Roman" w:hAnsi="Arial" w:cs="Arial"/>
                <w:sz w:val="20"/>
                <w:szCs w:val="20"/>
              </w:rPr>
              <w:t>8</w:t>
            </w:r>
          </w:p>
        </w:tc>
        <w:tc>
          <w:tcPr>
            <w:tcW w:w="499"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3</w:t>
            </w:r>
            <w:r w:rsidR="00FC11AE" w:rsidRPr="00E203A1">
              <w:rPr>
                <w:rFonts w:ascii="Arial" w:eastAsia="Times New Roman" w:hAnsi="Arial" w:cs="Arial"/>
                <w:sz w:val="20"/>
                <w:szCs w:val="20"/>
              </w:rPr>
              <w:t>,</w:t>
            </w:r>
            <w:r w:rsidRPr="00E203A1">
              <w:rPr>
                <w:rFonts w:ascii="Arial" w:eastAsia="Times New Roman" w:hAnsi="Arial" w:cs="Arial"/>
                <w:sz w:val="20"/>
                <w:szCs w:val="20"/>
              </w:rPr>
              <w:t>1</w:t>
            </w:r>
          </w:p>
        </w:tc>
        <w:tc>
          <w:tcPr>
            <w:tcW w:w="510" w:type="pct"/>
            <w:noWrap/>
            <w:hideMark/>
          </w:tcPr>
          <w:p w:rsidR="00322CCF" w:rsidRPr="00E203A1" w:rsidRDefault="00322CCF" w:rsidP="00322CCF">
            <w:pPr>
              <w:jc w:val="right"/>
              <w:rPr>
                <w:rFonts w:ascii="Arial" w:eastAsia="Times New Roman" w:hAnsi="Arial" w:cs="Arial"/>
                <w:sz w:val="20"/>
                <w:szCs w:val="20"/>
              </w:rPr>
            </w:pPr>
          </w:p>
        </w:tc>
        <w:tc>
          <w:tcPr>
            <w:tcW w:w="394" w:type="pct"/>
            <w:hideMark/>
          </w:tcPr>
          <w:p w:rsidR="00322CCF" w:rsidRPr="00E203A1" w:rsidRDefault="00322CCF" w:rsidP="00322CCF">
            <w:pPr>
              <w:jc w:val="right"/>
              <w:rPr>
                <w:rFonts w:ascii="Arial" w:eastAsia="Times New Roman" w:hAnsi="Arial" w:cs="Arial"/>
                <w:sz w:val="20"/>
                <w:szCs w:val="20"/>
              </w:rPr>
            </w:pPr>
            <w:r w:rsidRPr="00E203A1">
              <w:rPr>
                <w:rFonts w:ascii="Arial" w:eastAsia="Times New Roman" w:hAnsi="Arial" w:cs="Arial"/>
                <w:sz w:val="20"/>
                <w:szCs w:val="20"/>
              </w:rPr>
              <w:t> </w:t>
            </w:r>
          </w:p>
        </w:tc>
      </w:tr>
    </w:tbl>
    <w:p w:rsidR="00D6000E" w:rsidRPr="00E203A1" w:rsidRDefault="00D6000E" w:rsidP="00D6000E">
      <w:pPr>
        <w:jc w:val="both"/>
        <w:rPr>
          <w:rFonts w:ascii="Arial" w:hAnsi="Arial" w:cs="Arial"/>
          <w:b/>
          <w:color w:val="002060"/>
          <w:sz w:val="32"/>
          <w:szCs w:val="32"/>
        </w:rPr>
      </w:pPr>
    </w:p>
    <w:p w:rsidR="006C2EB0" w:rsidRPr="005A25CF" w:rsidRDefault="006C2EB0" w:rsidP="00BA03F3">
      <w:pPr>
        <w:spacing w:before="120" w:after="120" w:line="320" w:lineRule="exact"/>
        <w:jc w:val="both"/>
        <w:rPr>
          <w:rFonts w:ascii="Arial" w:hAnsi="Arial" w:cs="Arial"/>
          <w:b/>
          <w:color w:val="002060"/>
          <w:szCs w:val="24"/>
        </w:rPr>
      </w:pPr>
      <w:r w:rsidRPr="005A25CF">
        <w:rPr>
          <w:rFonts w:ascii="Arial" w:hAnsi="Arial" w:cs="Arial"/>
          <w:b/>
          <w:color w:val="002060"/>
          <w:szCs w:val="24"/>
        </w:rPr>
        <w:t>II. XUẤT KHẨU THỦY SẢN VIỆT NAM 201</w:t>
      </w:r>
      <w:r w:rsidR="008307B2" w:rsidRPr="005A25CF">
        <w:rPr>
          <w:rFonts w:ascii="Arial" w:hAnsi="Arial" w:cs="Arial"/>
          <w:b/>
          <w:color w:val="002060"/>
          <w:szCs w:val="24"/>
        </w:rPr>
        <w:t>5</w:t>
      </w:r>
      <w:r w:rsidRPr="005A25CF">
        <w:rPr>
          <w:rFonts w:ascii="Arial" w:hAnsi="Arial" w:cs="Arial"/>
          <w:b/>
          <w:color w:val="002060"/>
          <w:szCs w:val="24"/>
        </w:rPr>
        <w:t>-2020</w:t>
      </w:r>
    </w:p>
    <w:p w:rsidR="00BA03F3" w:rsidRDefault="00BA03F3" w:rsidP="0094696E">
      <w:pPr>
        <w:tabs>
          <w:tab w:val="left" w:pos="2280"/>
        </w:tabs>
        <w:spacing w:before="120" w:after="120" w:line="320" w:lineRule="exact"/>
        <w:jc w:val="both"/>
        <w:rPr>
          <w:rFonts w:ascii="Arial" w:hAnsi="Arial" w:cs="Arial"/>
          <w:b/>
          <w:color w:val="002060"/>
          <w:sz w:val="22"/>
        </w:rPr>
      </w:pPr>
      <w:r w:rsidRPr="00E203A1">
        <w:rPr>
          <w:rFonts w:ascii="Arial" w:hAnsi="Arial" w:cs="Arial"/>
          <w:b/>
          <w:color w:val="002060"/>
          <w:sz w:val="22"/>
        </w:rPr>
        <w:t xml:space="preserve">1. Sản phẩm </w:t>
      </w:r>
      <w:r w:rsidR="0094696E">
        <w:rPr>
          <w:rFonts w:ascii="Arial" w:hAnsi="Arial" w:cs="Arial"/>
          <w:b/>
          <w:color w:val="002060"/>
          <w:sz w:val="22"/>
        </w:rPr>
        <w:tab/>
      </w:r>
    </w:p>
    <w:p w:rsidR="00795E68" w:rsidRPr="00167261" w:rsidRDefault="00C95257" w:rsidP="00795E68">
      <w:pPr>
        <w:tabs>
          <w:tab w:val="left" w:pos="2280"/>
        </w:tabs>
        <w:spacing w:before="120" w:after="120" w:line="320" w:lineRule="exact"/>
        <w:jc w:val="both"/>
        <w:rPr>
          <w:rFonts w:ascii="Arial" w:hAnsi="Arial" w:cs="Arial"/>
          <w:color w:val="000000" w:themeColor="text1"/>
          <w:sz w:val="22"/>
        </w:rPr>
      </w:pPr>
      <w:r w:rsidRPr="00167261">
        <w:rPr>
          <w:rFonts w:ascii="Arial" w:hAnsi="Arial" w:cs="Arial"/>
          <w:color w:val="000000" w:themeColor="text1"/>
          <w:sz w:val="22"/>
        </w:rPr>
        <w:t>G</w:t>
      </w:r>
      <w:r w:rsidR="0094696E" w:rsidRPr="00167261">
        <w:rPr>
          <w:rFonts w:ascii="Arial" w:hAnsi="Arial" w:cs="Arial"/>
          <w:color w:val="000000" w:themeColor="text1"/>
          <w:sz w:val="22"/>
        </w:rPr>
        <w:t xml:space="preserve">iai đoạn 2015 – 2020, </w:t>
      </w:r>
      <w:r w:rsidRPr="00167261">
        <w:rPr>
          <w:rFonts w:ascii="Arial" w:hAnsi="Arial" w:cs="Arial"/>
          <w:color w:val="000000" w:themeColor="text1"/>
          <w:sz w:val="22"/>
        </w:rPr>
        <w:t xml:space="preserve">trải qua nhiều khó khăn ảnh hưởng đến sản xuất và thương mại thủy sản như thời tiết bất lợi, hạn hán xâm ngập mặn, bão lũ, rào cản thị trường như thuế CBPG tôm và cá tra tại Mỹ cao, truyền thông bôi bẩn làm giảm tiêu thụ cá tra tại EU, thẻ vàng IUU với hải sản XK, nhưng XK thủy sản của Việt Nam vẫn </w:t>
      </w:r>
      <w:r w:rsidR="0094696E" w:rsidRPr="00167261">
        <w:rPr>
          <w:rFonts w:ascii="Arial" w:hAnsi="Arial" w:cs="Arial"/>
          <w:color w:val="000000" w:themeColor="text1"/>
          <w:sz w:val="22"/>
        </w:rPr>
        <w:t>tăng từ 6,6 tỷ USD lên mức đỉnh trên 8,8 tỷ USD năm 2018, sau đó giảm nhẹ trong 2 năm 2019 và 2020.</w:t>
      </w:r>
      <w:r w:rsidRPr="00167261">
        <w:rPr>
          <w:rFonts w:ascii="Arial" w:hAnsi="Arial" w:cs="Arial"/>
          <w:color w:val="000000" w:themeColor="text1"/>
          <w:sz w:val="22"/>
        </w:rPr>
        <w:t xml:space="preserve"> Giai đoạn 2015 – 2020, thủy sản Việt Nam cũng được tham gia hội nhập sâu rộng và tận dụng tốt các cơ hội từ các hiệp định thương mại tự do như KV FTA, CPTPP, EVFTA và FTA giữa Việt Nam với Anh sẽ sớm được ký kết. </w:t>
      </w:r>
    </w:p>
    <w:p w:rsidR="00795E68" w:rsidRDefault="00795E68" w:rsidP="00795E68">
      <w:pPr>
        <w:tabs>
          <w:tab w:val="left" w:pos="2280"/>
        </w:tabs>
        <w:spacing w:before="120" w:after="120" w:line="320" w:lineRule="exact"/>
        <w:jc w:val="both"/>
        <w:rPr>
          <w:rFonts w:ascii="Arial" w:hAnsi="Arial" w:cs="Arial"/>
          <w:color w:val="002060"/>
          <w:sz w:val="22"/>
        </w:rPr>
      </w:pPr>
      <w:r>
        <w:rPr>
          <w:rFonts w:ascii="Arial" w:hAnsi="Arial" w:cs="Arial"/>
          <w:noProof/>
          <w:color w:val="002060"/>
          <w:sz w:val="22"/>
        </w:rPr>
        <w:lastRenderedPageBreak/>
        <w:drawing>
          <wp:anchor distT="0" distB="0" distL="114300" distR="114300" simplePos="0" relativeHeight="251660288" behindDoc="1" locked="0" layoutInCell="1" allowOverlap="1">
            <wp:simplePos x="0" y="0"/>
            <wp:positionH relativeFrom="column">
              <wp:posOffset>-28575</wp:posOffset>
            </wp:positionH>
            <wp:positionV relativeFrom="paragraph">
              <wp:posOffset>231775</wp:posOffset>
            </wp:positionV>
            <wp:extent cx="6610350" cy="3171825"/>
            <wp:effectExtent l="19050" t="0" r="19050" b="0"/>
            <wp:wrapTight wrapText="bothSides">
              <wp:wrapPolygon edited="0">
                <wp:start x="-62" y="0"/>
                <wp:lineTo x="-62" y="21535"/>
                <wp:lineTo x="21662" y="21535"/>
                <wp:lineTo x="21662" y="0"/>
                <wp:lineTo x="-62"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4696E" w:rsidRDefault="00393EC2" w:rsidP="00795E68">
      <w:pPr>
        <w:tabs>
          <w:tab w:val="left" w:pos="2280"/>
        </w:tabs>
        <w:spacing w:before="120" w:after="120" w:line="320" w:lineRule="exact"/>
        <w:jc w:val="both"/>
        <w:rPr>
          <w:rFonts w:ascii="Arial" w:hAnsi="Arial" w:cs="Arial"/>
          <w:sz w:val="22"/>
        </w:rPr>
      </w:pPr>
      <w:r w:rsidRPr="00E203A1">
        <w:rPr>
          <w:rFonts w:ascii="Arial" w:hAnsi="Arial" w:cs="Arial"/>
          <w:sz w:val="22"/>
        </w:rPr>
        <w:t>Ước tính XK thủy sản của Việt Nam năm 2020 sẽ đạt trên 8,58 tỷ USD, tương đương với năm 2019. So với năm 2015, XK thủy sản</w:t>
      </w:r>
      <w:r w:rsidR="00531918" w:rsidRPr="00E203A1">
        <w:rPr>
          <w:rFonts w:ascii="Arial" w:hAnsi="Arial" w:cs="Arial"/>
          <w:sz w:val="22"/>
        </w:rPr>
        <w:t xml:space="preserve"> năm 2020</w:t>
      </w:r>
      <w:r w:rsidRPr="00E203A1">
        <w:rPr>
          <w:rFonts w:ascii="Arial" w:hAnsi="Arial" w:cs="Arial"/>
          <w:sz w:val="22"/>
        </w:rPr>
        <w:t xml:space="preserve"> tăng 30,6%. </w:t>
      </w:r>
    </w:p>
    <w:p w:rsidR="00393EC2" w:rsidRPr="00E203A1" w:rsidRDefault="00393EC2" w:rsidP="00BA03F3">
      <w:pPr>
        <w:spacing w:before="120" w:after="120" w:line="320" w:lineRule="exact"/>
        <w:jc w:val="both"/>
        <w:rPr>
          <w:rFonts w:ascii="Arial" w:hAnsi="Arial" w:cs="Arial"/>
          <w:sz w:val="22"/>
        </w:rPr>
      </w:pPr>
      <w:r w:rsidRPr="00E203A1">
        <w:rPr>
          <w:rFonts w:ascii="Arial" w:hAnsi="Arial" w:cs="Arial"/>
          <w:sz w:val="22"/>
        </w:rPr>
        <w:t>Trong đó</w:t>
      </w:r>
      <w:r w:rsidR="00BA03F3" w:rsidRPr="00E203A1">
        <w:rPr>
          <w:rFonts w:ascii="Arial" w:hAnsi="Arial" w:cs="Arial"/>
          <w:sz w:val="22"/>
        </w:rPr>
        <w:t>, so với năm 2015 XK các sản phẩm tăng trưởng như sau</w:t>
      </w:r>
      <w:r w:rsidRPr="00E203A1">
        <w:rPr>
          <w:rFonts w:ascii="Arial" w:hAnsi="Arial" w:cs="Arial"/>
          <w:sz w:val="22"/>
        </w:rPr>
        <w:t>:</w:t>
      </w:r>
    </w:p>
    <w:p w:rsidR="00BA03F3" w:rsidRPr="00E203A1" w:rsidRDefault="00393EC2"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 xml:space="preserve">Tôm </w:t>
      </w:r>
      <w:r w:rsidR="002B253E">
        <w:rPr>
          <w:rFonts w:ascii="Arial" w:hAnsi="Arial" w:cs="Arial"/>
          <w:sz w:val="22"/>
        </w:rPr>
        <w:t xml:space="preserve">đạt 3,8 tỷ USD, </w:t>
      </w:r>
      <w:r w:rsidRPr="00E203A1">
        <w:rPr>
          <w:rFonts w:ascii="Arial" w:hAnsi="Arial" w:cs="Arial"/>
          <w:sz w:val="22"/>
        </w:rPr>
        <w:t xml:space="preserve">tăng 30,4% </w:t>
      </w:r>
    </w:p>
    <w:p w:rsidR="00393EC2" w:rsidRPr="00E203A1" w:rsidRDefault="00393EC2"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 xml:space="preserve">Cá tra </w:t>
      </w:r>
      <w:r w:rsidR="002B253E">
        <w:rPr>
          <w:rFonts w:ascii="Arial" w:hAnsi="Arial" w:cs="Arial"/>
          <w:sz w:val="22"/>
        </w:rPr>
        <w:t xml:space="preserve"> đạt 1,5 tỷ USD, </w:t>
      </w:r>
      <w:r w:rsidRPr="00E203A1">
        <w:rPr>
          <w:rFonts w:ascii="Arial" w:hAnsi="Arial" w:cs="Arial"/>
          <w:sz w:val="22"/>
        </w:rPr>
        <w:t>giảm 1,4%</w:t>
      </w:r>
    </w:p>
    <w:p w:rsidR="00393EC2" w:rsidRPr="00E203A1" w:rsidRDefault="00393EC2"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Cá ngừ</w:t>
      </w:r>
      <w:r w:rsidR="002B253E">
        <w:rPr>
          <w:rFonts w:ascii="Arial" w:hAnsi="Arial" w:cs="Arial"/>
          <w:sz w:val="22"/>
        </w:rPr>
        <w:t xml:space="preserve"> đạt 662 triệu USD, </w:t>
      </w:r>
      <w:r w:rsidRPr="00E203A1">
        <w:rPr>
          <w:rFonts w:ascii="Arial" w:hAnsi="Arial" w:cs="Arial"/>
          <w:sz w:val="22"/>
        </w:rPr>
        <w:t xml:space="preserve"> tăng 45,5%</w:t>
      </w:r>
    </w:p>
    <w:p w:rsidR="00393EC2" w:rsidRPr="00E203A1" w:rsidRDefault="00393EC2"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 xml:space="preserve">Mực, bạch tuộc </w:t>
      </w:r>
      <w:r w:rsidR="002B253E">
        <w:rPr>
          <w:rFonts w:ascii="Arial" w:hAnsi="Arial" w:cs="Arial"/>
          <w:sz w:val="22"/>
        </w:rPr>
        <w:t xml:space="preserve">đạt 565 triệu USD, </w:t>
      </w:r>
      <w:r w:rsidRPr="00E203A1">
        <w:rPr>
          <w:rFonts w:ascii="Arial" w:hAnsi="Arial" w:cs="Arial"/>
          <w:sz w:val="22"/>
        </w:rPr>
        <w:t xml:space="preserve">tăng 32% </w:t>
      </w:r>
    </w:p>
    <w:p w:rsidR="00BA03F3" w:rsidRPr="00E203A1" w:rsidRDefault="00BA03F3"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NTHMV</w:t>
      </w:r>
      <w:r w:rsidR="002B253E">
        <w:rPr>
          <w:rFonts w:ascii="Arial" w:hAnsi="Arial" w:cs="Arial"/>
          <w:sz w:val="22"/>
        </w:rPr>
        <w:t xml:space="preserve"> đạt 97 triệu USD, </w:t>
      </w:r>
      <w:r w:rsidRPr="00E203A1">
        <w:rPr>
          <w:rFonts w:ascii="Arial" w:hAnsi="Arial" w:cs="Arial"/>
          <w:sz w:val="22"/>
        </w:rPr>
        <w:t>tăng 18%</w:t>
      </w:r>
    </w:p>
    <w:p w:rsidR="00BA03F3" w:rsidRPr="00E203A1" w:rsidRDefault="00BA03F3"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 xml:space="preserve">Cua ghẹ </w:t>
      </w:r>
      <w:r w:rsidR="002B253E">
        <w:rPr>
          <w:rFonts w:ascii="Arial" w:hAnsi="Arial" w:cs="Arial"/>
          <w:sz w:val="22"/>
        </w:rPr>
        <w:t>đạ</w:t>
      </w:r>
      <w:r w:rsidRPr="00E203A1">
        <w:rPr>
          <w:rFonts w:ascii="Arial" w:hAnsi="Arial" w:cs="Arial"/>
          <w:sz w:val="22"/>
        </w:rPr>
        <w:t>t</w:t>
      </w:r>
      <w:r w:rsidR="002B253E">
        <w:rPr>
          <w:rFonts w:ascii="Arial" w:hAnsi="Arial" w:cs="Arial"/>
          <w:sz w:val="22"/>
        </w:rPr>
        <w:t xml:space="preserve"> 174 triệu USD, t</w:t>
      </w:r>
      <w:r w:rsidRPr="00E203A1">
        <w:rPr>
          <w:rFonts w:ascii="Arial" w:hAnsi="Arial" w:cs="Arial"/>
          <w:sz w:val="22"/>
        </w:rPr>
        <w:t>ăng 44%</w:t>
      </w:r>
    </w:p>
    <w:p w:rsidR="00BA03F3" w:rsidRPr="00E203A1" w:rsidRDefault="00BA03F3"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Surimi</w:t>
      </w:r>
      <w:r w:rsidR="002B253E">
        <w:rPr>
          <w:rFonts w:ascii="Arial" w:hAnsi="Arial" w:cs="Arial"/>
          <w:sz w:val="22"/>
        </w:rPr>
        <w:t xml:space="preserve"> đạt 322 triệu USD,</w:t>
      </w:r>
      <w:r w:rsidRPr="00E203A1">
        <w:rPr>
          <w:rFonts w:ascii="Arial" w:hAnsi="Arial" w:cs="Arial"/>
          <w:sz w:val="22"/>
        </w:rPr>
        <w:t xml:space="preserve"> tăng 6%</w:t>
      </w:r>
    </w:p>
    <w:p w:rsidR="00BA03F3" w:rsidRDefault="00BA03F3" w:rsidP="00BA03F3">
      <w:pPr>
        <w:pStyle w:val="ListParagraph"/>
        <w:numPr>
          <w:ilvl w:val="0"/>
          <w:numId w:val="2"/>
        </w:numPr>
        <w:spacing w:before="120" w:after="120" w:line="320" w:lineRule="exact"/>
        <w:jc w:val="both"/>
        <w:rPr>
          <w:rFonts w:ascii="Arial" w:hAnsi="Arial" w:cs="Arial"/>
          <w:sz w:val="22"/>
        </w:rPr>
      </w:pPr>
      <w:r w:rsidRPr="00E203A1">
        <w:rPr>
          <w:rFonts w:ascii="Arial" w:hAnsi="Arial" w:cs="Arial"/>
          <w:sz w:val="22"/>
        </w:rPr>
        <w:t xml:space="preserve">Cá biển và hải sản khác </w:t>
      </w:r>
      <w:r w:rsidR="002B253E">
        <w:rPr>
          <w:rFonts w:ascii="Arial" w:hAnsi="Arial" w:cs="Arial"/>
          <w:sz w:val="22"/>
        </w:rPr>
        <w:t xml:space="preserve">đạt 1,4 tỷ USD, </w:t>
      </w:r>
      <w:r w:rsidRPr="00E203A1">
        <w:rPr>
          <w:rFonts w:ascii="Arial" w:hAnsi="Arial" w:cs="Arial"/>
          <w:sz w:val="22"/>
        </w:rPr>
        <w:t>tăng 107%</w:t>
      </w:r>
    </w:p>
    <w:p w:rsidR="00167261" w:rsidRPr="00167261" w:rsidRDefault="00167261" w:rsidP="002B253E">
      <w:pPr>
        <w:pStyle w:val="NormalWeb"/>
        <w:spacing w:before="120" w:beforeAutospacing="0" w:after="120" w:afterAutospacing="0" w:line="300" w:lineRule="exact"/>
        <w:jc w:val="both"/>
        <w:rPr>
          <w:rFonts w:ascii="Arial" w:hAnsi="Arial" w:cs="Arial"/>
          <w:b/>
          <w:sz w:val="22"/>
          <w:szCs w:val="22"/>
        </w:rPr>
      </w:pPr>
      <w:r w:rsidRPr="00167261">
        <w:rPr>
          <w:rFonts w:ascii="Arial" w:hAnsi="Arial" w:cs="Arial"/>
          <w:b/>
          <w:sz w:val="22"/>
          <w:szCs w:val="22"/>
        </w:rPr>
        <w:t xml:space="preserve">1.1.Tôm: </w:t>
      </w:r>
    </w:p>
    <w:p w:rsidR="002B253E" w:rsidRPr="002B253E" w:rsidRDefault="002B253E" w:rsidP="002B253E">
      <w:pPr>
        <w:pStyle w:val="NormalWeb"/>
        <w:spacing w:before="120" w:beforeAutospacing="0" w:after="120" w:afterAutospacing="0" w:line="300" w:lineRule="exact"/>
        <w:jc w:val="both"/>
        <w:rPr>
          <w:rFonts w:ascii="Arial" w:hAnsi="Arial" w:cs="Arial"/>
          <w:sz w:val="22"/>
          <w:szCs w:val="22"/>
        </w:rPr>
      </w:pPr>
      <w:r w:rsidRPr="002B253E">
        <w:rPr>
          <w:rFonts w:ascii="Arial" w:hAnsi="Arial" w:cs="Arial"/>
          <w:sz w:val="22"/>
          <w:szCs w:val="22"/>
        </w:rPr>
        <w:t>Trong giai đoạn 5 năm (2015 – 2019), ngành tôm Việt Nam đã đạt được những kết quả khả quan trong sản xuất và XK</w:t>
      </w:r>
      <w:r>
        <w:rPr>
          <w:rFonts w:ascii="Arial" w:hAnsi="Arial" w:cs="Arial"/>
          <w:sz w:val="22"/>
          <w:szCs w:val="22"/>
        </w:rPr>
        <w:t xml:space="preserve">. </w:t>
      </w:r>
      <w:r w:rsidRPr="002B253E">
        <w:rPr>
          <w:rFonts w:ascii="Arial" w:hAnsi="Arial" w:cs="Arial"/>
          <w:sz w:val="22"/>
          <w:szCs w:val="22"/>
        </w:rPr>
        <w:t xml:space="preserve">Diện tích nuôi tôm tăng trung bình 1,4% mỗi năm, trong khi sản lượng tăng trung bình 5,7%, chủ yếu nhờ năng suất nuôi tôm chân trắng cải thiện. Sản lượng tôm chân trắng tăng liên tục và tăng mạnh gần 41% sau 5 năm với mức tăng trung bình 9% mỗi năm. Trong khi đó, sản lượng tôm sú tăng trung bình 1,2% và chỉ tăng 3,1% sau 5 năm, năng suất không có sự tăng trưởng đáng kể so với tôm chân trắng. </w:t>
      </w:r>
    </w:p>
    <w:p w:rsidR="00167261" w:rsidRDefault="002B253E" w:rsidP="00167261">
      <w:pPr>
        <w:pStyle w:val="NormalWeb"/>
        <w:spacing w:before="120" w:beforeAutospacing="0" w:after="120" w:afterAutospacing="0" w:line="300" w:lineRule="exact"/>
        <w:jc w:val="both"/>
        <w:rPr>
          <w:rFonts w:ascii="Arial" w:hAnsi="Arial" w:cs="Arial"/>
          <w:sz w:val="22"/>
          <w:szCs w:val="22"/>
        </w:rPr>
      </w:pPr>
      <w:r w:rsidRPr="002B253E">
        <w:rPr>
          <w:rFonts w:ascii="Arial" w:hAnsi="Arial" w:cs="Arial"/>
          <w:sz w:val="22"/>
          <w:szCs w:val="22"/>
        </w:rPr>
        <w:t xml:space="preserve">XK tôm trong 5 năm qua đạt tăng trưởng trung bình năm là 4%, tăng trưởng từng năm không ổn định, theo đó, tăng mạnh nhất vào năm 2017 với mức tăng 22,3% đạt trên 3,8 tỷ USD, chủ yếu nhờ XK tôm chân trắng tăng mạnh 29%. Sau 5 năm, XK tôm chân trắng ngày càng chiếm ưu thế trong sản phẩm tôm XK nhờ tăng trưởng mạnh (tăng trung bình năm 8,7%). </w:t>
      </w:r>
    </w:p>
    <w:p w:rsidR="00167261" w:rsidRPr="00167261" w:rsidRDefault="00167261" w:rsidP="00167261">
      <w:pPr>
        <w:pStyle w:val="NormalWeb"/>
        <w:spacing w:before="120" w:beforeAutospacing="0" w:after="120" w:afterAutospacing="0" w:line="300" w:lineRule="exact"/>
        <w:jc w:val="both"/>
        <w:rPr>
          <w:rFonts w:ascii="Arial" w:hAnsi="Arial" w:cs="Arial"/>
          <w:sz w:val="22"/>
          <w:szCs w:val="22"/>
        </w:rPr>
      </w:pPr>
      <w:r w:rsidRPr="00167261">
        <w:rPr>
          <w:rFonts w:ascii="Arial" w:hAnsi="Arial" w:cs="Arial"/>
          <w:sz w:val="22"/>
          <w:szCs w:val="22"/>
        </w:rPr>
        <w:t xml:space="preserve">Top 6 thị trường NK tôm của Việt Nam gồm EU, Mỹ, Nhật Bản, Trung Quốc và Hàn Quốc chiếm 81-85% tổng giá trị NK tôm trong 5 năm qua. Từ năm 2017, Mỹ và EU hoán đổi vị trí cho nhau vì XK tôm sang Mỹ sụt giảm liên tục và giảm mạnh hơn thị trường EU. Trong giai đoạn này, XK sang Trung Quốc </w:t>
      </w:r>
      <w:r w:rsidRPr="00167261">
        <w:rPr>
          <w:rFonts w:ascii="Arial" w:hAnsi="Arial" w:cs="Arial"/>
          <w:sz w:val="22"/>
          <w:szCs w:val="22"/>
        </w:rPr>
        <w:lastRenderedPageBreak/>
        <w:t xml:space="preserve">đột phá mạnh nhất với tăng trưởng trung bình năm là 16% và sau 5 năm tăng trên 55%. Sau Trung Quốc, Hàn Quốc cũng là thị trường đáng chú ý trong 5 năm qua với tăng trưởng trung bình năm 9% và tăng trưởng sau 5 năm là 34%, tiếp đến là EU với tỷ lệ tương ứng là 8% và 26%. </w:t>
      </w:r>
    </w:p>
    <w:p w:rsidR="00167261" w:rsidRPr="00167261" w:rsidRDefault="00167261" w:rsidP="00167261">
      <w:pPr>
        <w:pStyle w:val="NormalWeb"/>
        <w:spacing w:before="120" w:beforeAutospacing="0" w:after="120" w:afterAutospacing="0" w:line="300" w:lineRule="exact"/>
        <w:jc w:val="both"/>
        <w:rPr>
          <w:rFonts w:ascii="Arial" w:hAnsi="Arial" w:cs="Arial"/>
          <w:sz w:val="22"/>
          <w:szCs w:val="22"/>
        </w:rPr>
      </w:pPr>
      <w:r w:rsidRPr="00167261">
        <w:rPr>
          <w:rFonts w:ascii="Arial" w:hAnsi="Arial" w:cs="Arial"/>
          <w:b/>
          <w:sz w:val="22"/>
          <w:szCs w:val="22"/>
        </w:rPr>
        <w:t xml:space="preserve">1.2. </w:t>
      </w:r>
      <w:r w:rsidR="002B253E" w:rsidRPr="00167261">
        <w:rPr>
          <w:rFonts w:ascii="Arial" w:hAnsi="Arial" w:cs="Arial"/>
          <w:b/>
          <w:sz w:val="22"/>
          <w:szCs w:val="22"/>
        </w:rPr>
        <w:t>Cá tra</w:t>
      </w:r>
      <w:r w:rsidRPr="00167261">
        <w:rPr>
          <w:rFonts w:ascii="Arial" w:hAnsi="Arial" w:cs="Arial"/>
          <w:b/>
          <w:sz w:val="22"/>
          <w:szCs w:val="22"/>
        </w:rPr>
        <w:t>:</w:t>
      </w:r>
      <w:r w:rsidRPr="00167261">
        <w:rPr>
          <w:rFonts w:ascii="Arial" w:hAnsi="Arial" w:cs="Arial"/>
          <w:sz w:val="22"/>
          <w:szCs w:val="22"/>
        </w:rPr>
        <w:t xml:space="preserve"> </w:t>
      </w:r>
    </w:p>
    <w:p w:rsidR="002B253E" w:rsidRPr="002B253E" w:rsidRDefault="002B253E" w:rsidP="00167261">
      <w:pPr>
        <w:pStyle w:val="NormalWeb"/>
        <w:spacing w:line="300" w:lineRule="exact"/>
        <w:jc w:val="both"/>
        <w:rPr>
          <w:rFonts w:ascii="Arial" w:hAnsi="Arial" w:cs="Arial"/>
          <w:sz w:val="22"/>
          <w:szCs w:val="22"/>
        </w:rPr>
      </w:pPr>
      <w:r w:rsidRPr="002B253E">
        <w:rPr>
          <w:rFonts w:ascii="Arial" w:hAnsi="Arial" w:cs="Arial"/>
          <w:sz w:val="22"/>
          <w:szCs w:val="22"/>
        </w:rPr>
        <w:t xml:space="preserve">Sau 5 năm (2015 - 2019), diện tích nuôi cá tra ĐBSCL (khu vực chiếm 95% sản lượng cá tra của cả nước) tăng 18,7%, sản lượng tăng 38,5%. Tổng giá trị XK cá tra tăng 28% sau 5 năm, trong đó, giá trị XK đạt đỉnh vào năm 2018 là 2,26 tỷ USD sau đó giảm 11% năm 2019 đạt trên 2 tỷ USD, do </w:t>
      </w:r>
      <w:r w:rsidR="00167261">
        <w:rPr>
          <w:rFonts w:ascii="Arial" w:hAnsi="Arial" w:cs="Arial"/>
          <w:sz w:val="22"/>
          <w:szCs w:val="22"/>
        </w:rPr>
        <w:t>sụt giảm mạnh XK sang Mỹ và EU</w:t>
      </w:r>
      <w:r w:rsidRPr="002B253E">
        <w:rPr>
          <w:rFonts w:ascii="Arial" w:hAnsi="Arial" w:cs="Arial"/>
          <w:sz w:val="22"/>
          <w:szCs w:val="22"/>
        </w:rPr>
        <w:t>. Năm 2018 cũng là năm giá cá tra nguyên liệu tại ĐBSCL leo lên mức kỷ lục của năm, đặc biệt trong 2 tháng liên tiếp tháng 10-11/2018, giá cá tra lên mức 36.500 đồng/kg - mức giá cao kỷ lục trong suốt 10 năm qua.</w:t>
      </w:r>
    </w:p>
    <w:p w:rsidR="002B253E" w:rsidRDefault="002B253E" w:rsidP="00167261">
      <w:pPr>
        <w:pStyle w:val="NormalWeb"/>
        <w:tabs>
          <w:tab w:val="left" w:pos="2445"/>
        </w:tabs>
        <w:spacing w:line="300" w:lineRule="exact"/>
        <w:jc w:val="both"/>
        <w:rPr>
          <w:rFonts w:ascii="Arial" w:hAnsi="Arial" w:cs="Arial"/>
          <w:sz w:val="22"/>
          <w:szCs w:val="22"/>
        </w:rPr>
      </w:pPr>
      <w:r w:rsidRPr="002B253E">
        <w:rPr>
          <w:rFonts w:ascii="Arial" w:hAnsi="Arial" w:cs="Arial"/>
          <w:sz w:val="22"/>
          <w:szCs w:val="22"/>
        </w:rPr>
        <w:t>Top 10 thị trường XK cá tra trong giai đoạn 5 năm này không nhiều thay đổi. Trong đó, giá trị XK cá tra sang thị trường Trung Quốc - Hồng Kông gây ấn tượng mạnh mẽ nhất khi năm 2019, giá trị XK đạt 410,8 triệu USD, tăng hơn 263% so với năm 2015. Ngoài ra, các thị trường khác như Mỹ, giá trị XK cũng tăng 2,25%; ASEAN tăng 4,83%. Ngược lại, giá trị XK sang EU giảm 41%; Mexico giảm 9,54%; Colombia giảm 22,18% và Brazil giảm 14,8% so với 5 năm trước.</w:t>
      </w:r>
    </w:p>
    <w:p w:rsidR="00167261" w:rsidRDefault="00167261" w:rsidP="00167261">
      <w:pPr>
        <w:pStyle w:val="NormalWeb"/>
        <w:tabs>
          <w:tab w:val="left" w:pos="2445"/>
        </w:tabs>
        <w:spacing w:line="300" w:lineRule="exact"/>
        <w:jc w:val="both"/>
        <w:rPr>
          <w:rFonts w:ascii="Arial" w:hAnsi="Arial" w:cs="Arial"/>
          <w:b/>
          <w:sz w:val="22"/>
          <w:szCs w:val="22"/>
        </w:rPr>
      </w:pPr>
      <w:r w:rsidRPr="00167261">
        <w:rPr>
          <w:rFonts w:ascii="Arial" w:hAnsi="Arial" w:cs="Arial"/>
          <w:b/>
          <w:sz w:val="22"/>
          <w:szCs w:val="22"/>
        </w:rPr>
        <w:t>1.3. Hải sản</w:t>
      </w:r>
      <w:r>
        <w:rPr>
          <w:rFonts w:ascii="Arial" w:hAnsi="Arial" w:cs="Arial"/>
          <w:b/>
          <w:sz w:val="22"/>
          <w:szCs w:val="22"/>
        </w:rPr>
        <w:t>:</w:t>
      </w:r>
    </w:p>
    <w:p w:rsidR="00167261" w:rsidRPr="00167261" w:rsidRDefault="00167261" w:rsidP="00167261">
      <w:pPr>
        <w:pStyle w:val="NormalWeb"/>
        <w:tabs>
          <w:tab w:val="left" w:pos="2445"/>
        </w:tabs>
        <w:spacing w:before="120" w:beforeAutospacing="0" w:after="120" w:afterAutospacing="0" w:line="300" w:lineRule="exact"/>
        <w:jc w:val="both"/>
        <w:rPr>
          <w:rFonts w:ascii="Arial" w:hAnsi="Arial" w:cs="Arial"/>
          <w:sz w:val="22"/>
          <w:szCs w:val="22"/>
        </w:rPr>
      </w:pPr>
      <w:r w:rsidRPr="00167261">
        <w:rPr>
          <w:rFonts w:ascii="Arial" w:hAnsi="Arial" w:cs="Arial"/>
          <w:sz w:val="22"/>
          <w:szCs w:val="22"/>
        </w:rPr>
        <w:t>Xuất khẩu hải tăng từ mức 2,2 tỷ USD năm 2015 lên 3,2 tỷ USD năm 2019, tăng gấp 1,5 lần trong vòng 5 năm, và có xu hướng tăng trưởng liên tục qua các năm. Các sản phẩm hải sản XK của Việt Nam ngày càng đa dạng. Các sản phẩm như cá ngừ, mực bạch tuộc, nhuyễn thể hai mảnh vỏ, cua ghẹ và surimi hiện có doanh số XK ngày càng cao.</w:t>
      </w:r>
    </w:p>
    <w:p w:rsidR="00167261" w:rsidRPr="00167261" w:rsidRDefault="00167261" w:rsidP="00167261">
      <w:pPr>
        <w:pStyle w:val="NormalWeb"/>
        <w:tabs>
          <w:tab w:val="left" w:pos="1770"/>
        </w:tabs>
        <w:spacing w:before="120" w:beforeAutospacing="0" w:after="120" w:afterAutospacing="0" w:line="300" w:lineRule="exact"/>
        <w:jc w:val="both"/>
        <w:rPr>
          <w:rFonts w:ascii="Arial" w:hAnsi="Arial" w:cs="Arial"/>
          <w:sz w:val="22"/>
          <w:szCs w:val="22"/>
        </w:rPr>
      </w:pPr>
      <w:r w:rsidRPr="00167261">
        <w:rPr>
          <w:rFonts w:ascii="Arial" w:hAnsi="Arial" w:cs="Arial"/>
          <w:sz w:val="22"/>
          <w:szCs w:val="22"/>
        </w:rPr>
        <w:t>5 năm qua, các sản phẩm hải sản của Việt Nam đã được XK sang hơn 150 thị trường trên thế giới. Trong đó, Nhật Bản, Mỹ, ASEAN, Hàn Quốc, EU và Trung Quốc là các thị trường NK hải sản chính của Việt Nam, luôn chiếm trên 86% tổng khối lượng XK hải sản.</w:t>
      </w:r>
    </w:p>
    <w:p w:rsidR="00167261" w:rsidRPr="00167261" w:rsidRDefault="00167261" w:rsidP="00167261">
      <w:pPr>
        <w:pStyle w:val="NormalWeb"/>
        <w:tabs>
          <w:tab w:val="left" w:pos="2445"/>
        </w:tabs>
        <w:spacing w:line="300" w:lineRule="exact"/>
        <w:jc w:val="both"/>
        <w:rPr>
          <w:rFonts w:ascii="Arial" w:hAnsi="Arial" w:cs="Arial"/>
          <w:b/>
          <w:sz w:val="22"/>
        </w:rPr>
      </w:pPr>
    </w:p>
    <w:tbl>
      <w:tblPr>
        <w:tblStyle w:val="TableGrid"/>
        <w:tblW w:w="4672" w:type="pct"/>
        <w:tblLayout w:type="fixed"/>
        <w:tblLook w:val="04A0" w:firstRow="1" w:lastRow="0" w:firstColumn="1" w:lastColumn="0" w:noHBand="0" w:noVBand="1"/>
      </w:tblPr>
      <w:tblGrid>
        <w:gridCol w:w="1474"/>
        <w:gridCol w:w="887"/>
        <w:gridCol w:w="975"/>
        <w:gridCol w:w="975"/>
        <w:gridCol w:w="971"/>
        <w:gridCol w:w="1111"/>
        <w:gridCol w:w="975"/>
        <w:gridCol w:w="1107"/>
        <w:gridCol w:w="1104"/>
      </w:tblGrid>
      <w:tr w:rsidR="00BA03F3" w:rsidRPr="00E203A1" w:rsidTr="00B4147B">
        <w:trPr>
          <w:trHeight w:val="315"/>
        </w:trPr>
        <w:tc>
          <w:tcPr>
            <w:tcW w:w="5000" w:type="pct"/>
            <w:gridSpan w:val="9"/>
            <w:shd w:val="clear" w:color="auto" w:fill="D9E2F3" w:themeFill="accent5" w:themeFillTint="33"/>
            <w:noWrap/>
          </w:tcPr>
          <w:p w:rsidR="00BA03F3" w:rsidRPr="00E203A1" w:rsidRDefault="00BA03F3"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 xml:space="preserve">Kết quả XK thủy sản Việt Nam, theo loài, 2015 – 2020 (ĐVT: triệu USD) </w:t>
            </w:r>
          </w:p>
        </w:tc>
      </w:tr>
      <w:tr w:rsidR="00393EC2" w:rsidRPr="00E203A1" w:rsidTr="00B4147B">
        <w:trPr>
          <w:trHeight w:val="315"/>
        </w:trPr>
        <w:tc>
          <w:tcPr>
            <w:tcW w:w="769" w:type="pct"/>
            <w:shd w:val="clear" w:color="auto" w:fill="D9E2F3" w:themeFill="accent5" w:themeFillTint="33"/>
            <w:noWrap/>
            <w:hideMark/>
          </w:tcPr>
          <w:p w:rsidR="00393EC2" w:rsidRPr="00E203A1" w:rsidRDefault="00393EC2" w:rsidP="000B6C7E">
            <w:pPr>
              <w:rPr>
                <w:rFonts w:ascii="Arial" w:eastAsia="Times New Roman" w:hAnsi="Arial" w:cs="Arial"/>
                <w:b/>
                <w:sz w:val="20"/>
                <w:szCs w:val="20"/>
              </w:rPr>
            </w:pPr>
            <w:r w:rsidRPr="00E203A1">
              <w:rPr>
                <w:rFonts w:ascii="Arial" w:eastAsia="Times New Roman" w:hAnsi="Arial" w:cs="Arial"/>
                <w:b/>
                <w:sz w:val="20"/>
                <w:szCs w:val="20"/>
              </w:rPr>
              <w:t xml:space="preserve">Sản phẩm </w:t>
            </w:r>
          </w:p>
        </w:tc>
        <w:tc>
          <w:tcPr>
            <w:tcW w:w="463"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2014</w:t>
            </w:r>
          </w:p>
        </w:tc>
        <w:tc>
          <w:tcPr>
            <w:tcW w:w="509"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2015</w:t>
            </w:r>
          </w:p>
        </w:tc>
        <w:tc>
          <w:tcPr>
            <w:tcW w:w="509"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2016</w:t>
            </w:r>
          </w:p>
        </w:tc>
        <w:tc>
          <w:tcPr>
            <w:tcW w:w="507"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2017</w:t>
            </w:r>
          </w:p>
        </w:tc>
        <w:tc>
          <w:tcPr>
            <w:tcW w:w="580"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2018</w:t>
            </w:r>
          </w:p>
        </w:tc>
        <w:tc>
          <w:tcPr>
            <w:tcW w:w="509"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2019</w:t>
            </w:r>
          </w:p>
        </w:tc>
        <w:tc>
          <w:tcPr>
            <w:tcW w:w="578" w:type="pct"/>
            <w:shd w:val="clear" w:color="auto" w:fill="D9E2F3" w:themeFill="accent5" w:themeFillTint="33"/>
            <w:hideMark/>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2020 (ước)</w:t>
            </w:r>
          </w:p>
        </w:tc>
        <w:tc>
          <w:tcPr>
            <w:tcW w:w="576" w:type="pct"/>
            <w:shd w:val="clear" w:color="auto" w:fill="D9E2F3" w:themeFill="accent5" w:themeFillTint="33"/>
          </w:tcPr>
          <w:p w:rsidR="00393EC2" w:rsidRPr="00E203A1" w:rsidRDefault="00393EC2" w:rsidP="000B6C7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Tăng trưởng 2020/2015</w:t>
            </w:r>
          </w:p>
        </w:tc>
      </w:tr>
      <w:tr w:rsidR="00393EC2" w:rsidRPr="00E203A1" w:rsidTr="00393EC2">
        <w:trPr>
          <w:trHeight w:val="315"/>
        </w:trPr>
        <w:tc>
          <w:tcPr>
            <w:tcW w:w="769" w:type="pct"/>
            <w:noWrap/>
            <w:hideMark/>
          </w:tcPr>
          <w:p w:rsidR="00393EC2" w:rsidRPr="00E203A1" w:rsidRDefault="00393EC2" w:rsidP="00393EC2">
            <w:pPr>
              <w:rPr>
                <w:rFonts w:ascii="Arial" w:eastAsia="Times New Roman" w:hAnsi="Arial" w:cs="Arial"/>
                <w:b/>
                <w:color w:val="000000"/>
                <w:sz w:val="20"/>
                <w:szCs w:val="20"/>
              </w:rPr>
            </w:pPr>
            <w:r w:rsidRPr="00E203A1">
              <w:rPr>
                <w:rFonts w:ascii="Arial" w:eastAsia="Times New Roman" w:hAnsi="Arial" w:cs="Arial"/>
                <w:b/>
                <w:color w:val="000000"/>
                <w:sz w:val="20"/>
                <w:szCs w:val="20"/>
              </w:rPr>
              <w:t xml:space="preserve">Tôm </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3.952,9</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2.952,4</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3150,7</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3.854,7</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3.554,4</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3.362,9</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3.850,5</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30.4</w:t>
            </w:r>
          </w:p>
        </w:tc>
      </w:tr>
      <w:tr w:rsidR="00393EC2" w:rsidRPr="00E203A1" w:rsidTr="00393EC2">
        <w:trPr>
          <w:trHeight w:val="300"/>
        </w:trPr>
        <w:tc>
          <w:tcPr>
            <w:tcW w:w="1231" w:type="pct"/>
            <w:gridSpan w:val="2"/>
            <w:noWrap/>
            <w:hideMark/>
          </w:tcPr>
          <w:p w:rsidR="00393EC2" w:rsidRPr="00E203A1" w:rsidRDefault="00393EC2" w:rsidP="00393EC2">
            <w:pPr>
              <w:rPr>
                <w:rFonts w:ascii="Arial" w:eastAsia="Times New Roman" w:hAnsi="Arial" w:cs="Arial"/>
                <w:color w:val="000000"/>
                <w:sz w:val="20"/>
                <w:szCs w:val="20"/>
              </w:rPr>
            </w:pPr>
            <w:r w:rsidRPr="00E203A1">
              <w:rPr>
                <w:rFonts w:ascii="Arial" w:eastAsia="Times New Roman" w:hAnsi="Arial" w:cs="Arial"/>
                <w:color w:val="000000"/>
                <w:sz w:val="20"/>
                <w:szCs w:val="20"/>
              </w:rPr>
              <w:t>Tăng trưởng (%)</w:t>
            </w:r>
          </w:p>
        </w:tc>
        <w:tc>
          <w:tcPr>
            <w:tcW w:w="509" w:type="pct"/>
            <w:hideMark/>
          </w:tcPr>
          <w:p w:rsidR="00393EC2" w:rsidRPr="00E203A1" w:rsidRDefault="00393EC2" w:rsidP="00393EC2">
            <w:pPr>
              <w:jc w:val="right"/>
              <w:rPr>
                <w:rFonts w:ascii="Arial" w:eastAsia="Times New Roman" w:hAnsi="Arial" w:cs="Arial"/>
                <w:bCs/>
                <w:color w:val="000000"/>
                <w:sz w:val="20"/>
                <w:szCs w:val="20"/>
              </w:rPr>
            </w:pPr>
            <w:r w:rsidRPr="00E203A1">
              <w:rPr>
                <w:rFonts w:ascii="Arial" w:eastAsia="Times New Roman" w:hAnsi="Arial" w:cs="Arial"/>
                <w:bCs/>
                <w:color w:val="000000"/>
                <w:sz w:val="20"/>
                <w:szCs w:val="20"/>
              </w:rPr>
              <w:t>-25</w:t>
            </w:r>
          </w:p>
        </w:tc>
        <w:tc>
          <w:tcPr>
            <w:tcW w:w="509" w:type="pct"/>
            <w:hideMark/>
          </w:tcPr>
          <w:p w:rsidR="00393EC2" w:rsidRPr="00E203A1" w:rsidRDefault="00393EC2" w:rsidP="00393EC2">
            <w:pPr>
              <w:jc w:val="right"/>
              <w:rPr>
                <w:rFonts w:ascii="Arial" w:eastAsia="Times New Roman" w:hAnsi="Arial" w:cs="Arial"/>
                <w:bCs/>
                <w:color w:val="000000"/>
                <w:sz w:val="20"/>
                <w:szCs w:val="20"/>
              </w:rPr>
            </w:pPr>
            <w:r w:rsidRPr="00E203A1">
              <w:rPr>
                <w:rFonts w:ascii="Arial" w:eastAsia="Times New Roman" w:hAnsi="Arial" w:cs="Arial"/>
                <w:bCs/>
                <w:color w:val="000000"/>
                <w:sz w:val="20"/>
                <w:szCs w:val="20"/>
              </w:rPr>
              <w:t>7</w:t>
            </w:r>
          </w:p>
        </w:tc>
        <w:tc>
          <w:tcPr>
            <w:tcW w:w="507" w:type="pct"/>
            <w:hideMark/>
          </w:tcPr>
          <w:p w:rsidR="00393EC2" w:rsidRPr="00E203A1" w:rsidRDefault="00393EC2" w:rsidP="00393EC2">
            <w:pPr>
              <w:jc w:val="right"/>
              <w:rPr>
                <w:rFonts w:ascii="Arial" w:eastAsia="Times New Roman" w:hAnsi="Arial" w:cs="Arial"/>
                <w:bCs/>
                <w:color w:val="000000"/>
                <w:sz w:val="20"/>
                <w:szCs w:val="20"/>
              </w:rPr>
            </w:pPr>
            <w:r w:rsidRPr="00E203A1">
              <w:rPr>
                <w:rFonts w:ascii="Arial" w:eastAsia="Times New Roman" w:hAnsi="Arial" w:cs="Arial"/>
                <w:bCs/>
                <w:color w:val="000000"/>
                <w:sz w:val="20"/>
                <w:szCs w:val="20"/>
              </w:rPr>
              <w:t>22</w:t>
            </w:r>
          </w:p>
        </w:tc>
        <w:tc>
          <w:tcPr>
            <w:tcW w:w="580" w:type="pct"/>
            <w:hideMark/>
          </w:tcPr>
          <w:p w:rsidR="00393EC2" w:rsidRPr="00E203A1" w:rsidRDefault="00393EC2" w:rsidP="00393EC2">
            <w:pPr>
              <w:jc w:val="right"/>
              <w:rPr>
                <w:rFonts w:ascii="Arial" w:eastAsia="Times New Roman" w:hAnsi="Arial" w:cs="Arial"/>
                <w:bCs/>
                <w:color w:val="000000"/>
                <w:sz w:val="20"/>
                <w:szCs w:val="20"/>
              </w:rPr>
            </w:pPr>
            <w:r w:rsidRPr="00E203A1">
              <w:rPr>
                <w:rFonts w:ascii="Arial" w:eastAsia="Times New Roman" w:hAnsi="Arial" w:cs="Arial"/>
                <w:bCs/>
                <w:color w:val="000000"/>
                <w:sz w:val="20"/>
                <w:szCs w:val="20"/>
              </w:rPr>
              <w:t>-8</w:t>
            </w:r>
          </w:p>
        </w:tc>
        <w:tc>
          <w:tcPr>
            <w:tcW w:w="509" w:type="pct"/>
            <w:hideMark/>
          </w:tcPr>
          <w:p w:rsidR="00393EC2" w:rsidRPr="00E203A1" w:rsidRDefault="00393EC2" w:rsidP="00393EC2">
            <w:pPr>
              <w:jc w:val="right"/>
              <w:rPr>
                <w:rFonts w:ascii="Arial" w:eastAsia="Times New Roman" w:hAnsi="Arial" w:cs="Arial"/>
                <w:bCs/>
                <w:color w:val="000000"/>
                <w:sz w:val="20"/>
                <w:szCs w:val="20"/>
              </w:rPr>
            </w:pPr>
            <w:r w:rsidRPr="00E203A1">
              <w:rPr>
                <w:rFonts w:ascii="Arial" w:eastAsia="Times New Roman" w:hAnsi="Arial" w:cs="Arial"/>
                <w:bCs/>
                <w:color w:val="000000"/>
                <w:sz w:val="20"/>
                <w:szCs w:val="20"/>
              </w:rPr>
              <w:t>-5</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14.5</w:t>
            </w:r>
          </w:p>
        </w:tc>
        <w:tc>
          <w:tcPr>
            <w:tcW w:w="576" w:type="pct"/>
          </w:tcPr>
          <w:p w:rsidR="00393EC2" w:rsidRPr="00E203A1" w:rsidRDefault="00393EC2" w:rsidP="00393EC2">
            <w:pPr>
              <w:jc w:val="right"/>
              <w:rPr>
                <w:rFonts w:ascii="Arial" w:eastAsia="Times New Roman"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Cá tra</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1.768,2</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1.565,2</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1.714,9</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1.788,0</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2261,5</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2.004,6</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1,543,6</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-1.4</w:t>
            </w:r>
          </w:p>
        </w:tc>
      </w:tr>
      <w:tr w:rsidR="00393EC2" w:rsidRPr="00E203A1" w:rsidTr="00393EC2">
        <w:trPr>
          <w:trHeight w:val="315"/>
        </w:trPr>
        <w:tc>
          <w:tcPr>
            <w:tcW w:w="769" w:type="pct"/>
            <w:noWrap/>
            <w:hideMark/>
          </w:tcPr>
          <w:p w:rsidR="00393EC2" w:rsidRPr="00E203A1" w:rsidRDefault="00393EC2" w:rsidP="00393EC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393EC2">
            <w:pPr>
              <w:rPr>
                <w:rFonts w:ascii="Arial" w:eastAsia="Times New Roman" w:hAnsi="Arial" w:cs="Arial"/>
                <w:bCs/>
                <w:color w:val="000000"/>
                <w:sz w:val="20"/>
                <w:szCs w:val="20"/>
              </w:rPr>
            </w:pP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-11.5</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9.6</w:t>
            </w:r>
          </w:p>
        </w:tc>
        <w:tc>
          <w:tcPr>
            <w:tcW w:w="507"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4.3</w:t>
            </w:r>
          </w:p>
        </w:tc>
        <w:tc>
          <w:tcPr>
            <w:tcW w:w="580"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26.5</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-11.4</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-23.0</w:t>
            </w:r>
          </w:p>
        </w:tc>
        <w:tc>
          <w:tcPr>
            <w:tcW w:w="576" w:type="pct"/>
            <w:vAlign w:val="bottom"/>
          </w:tcPr>
          <w:p w:rsidR="00393EC2" w:rsidRPr="00E203A1" w:rsidRDefault="00393EC2" w:rsidP="00393EC2">
            <w:pPr>
              <w:jc w:val="right"/>
              <w:rPr>
                <w:rFonts w:ascii="Arial"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Cá ngừ</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484,2</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455,0</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509,8</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592,9</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652,9</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719,5</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661,9</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45.5</w:t>
            </w: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393EC2">
            <w:pPr>
              <w:rPr>
                <w:rFonts w:ascii="Arial" w:eastAsia="Times New Roman" w:hAnsi="Arial" w:cs="Arial"/>
                <w:bCs/>
                <w:color w:val="000000"/>
                <w:sz w:val="20"/>
                <w:szCs w:val="20"/>
              </w:rPr>
            </w:pP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-6.0</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12.0</w:t>
            </w:r>
          </w:p>
        </w:tc>
        <w:tc>
          <w:tcPr>
            <w:tcW w:w="507"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16.3</w:t>
            </w:r>
          </w:p>
        </w:tc>
        <w:tc>
          <w:tcPr>
            <w:tcW w:w="580"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10.1</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10.2</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-8.0</w:t>
            </w:r>
          </w:p>
        </w:tc>
        <w:tc>
          <w:tcPr>
            <w:tcW w:w="576" w:type="pct"/>
            <w:vAlign w:val="bottom"/>
          </w:tcPr>
          <w:p w:rsidR="00393EC2" w:rsidRPr="00E203A1" w:rsidRDefault="00393EC2" w:rsidP="00393EC2">
            <w:pPr>
              <w:jc w:val="right"/>
              <w:rPr>
                <w:rFonts w:ascii="Arial"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Mực, BT</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483,3</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429,2</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439,0</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620,8</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672,3</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576,7</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565,1</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31.7</w:t>
            </w: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393EC2">
            <w:pPr>
              <w:rPr>
                <w:rFonts w:ascii="Arial" w:eastAsia="Times New Roman" w:hAnsi="Arial" w:cs="Arial"/>
                <w:bCs/>
                <w:color w:val="000000"/>
                <w:sz w:val="20"/>
                <w:szCs w:val="20"/>
              </w:rPr>
            </w:pP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-11.2</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2.3</w:t>
            </w:r>
          </w:p>
        </w:tc>
        <w:tc>
          <w:tcPr>
            <w:tcW w:w="507"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41.4</w:t>
            </w:r>
          </w:p>
        </w:tc>
        <w:tc>
          <w:tcPr>
            <w:tcW w:w="580"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8.3</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-14.2</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-2.0</w:t>
            </w:r>
          </w:p>
        </w:tc>
        <w:tc>
          <w:tcPr>
            <w:tcW w:w="576" w:type="pct"/>
            <w:vAlign w:val="bottom"/>
          </w:tcPr>
          <w:p w:rsidR="00393EC2" w:rsidRPr="00E203A1" w:rsidRDefault="00393EC2" w:rsidP="00393EC2">
            <w:pPr>
              <w:jc w:val="right"/>
              <w:rPr>
                <w:rFonts w:ascii="Arial"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NTHMV</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80,0</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82,4</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82,3</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98,5</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88,7</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93,6</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97,4</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18.2</w:t>
            </w: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393EC2">
            <w:pPr>
              <w:rPr>
                <w:rFonts w:ascii="Arial" w:eastAsia="Times New Roman" w:hAnsi="Arial" w:cs="Arial"/>
                <w:bCs/>
                <w:color w:val="000000"/>
                <w:sz w:val="20"/>
                <w:szCs w:val="20"/>
              </w:rPr>
            </w:pP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3.0</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-0.1</w:t>
            </w:r>
          </w:p>
        </w:tc>
        <w:tc>
          <w:tcPr>
            <w:tcW w:w="507"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19.7</w:t>
            </w:r>
          </w:p>
        </w:tc>
        <w:tc>
          <w:tcPr>
            <w:tcW w:w="580"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-10.0</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5.6</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4.0</w:t>
            </w:r>
          </w:p>
        </w:tc>
        <w:tc>
          <w:tcPr>
            <w:tcW w:w="576" w:type="pct"/>
            <w:vAlign w:val="bottom"/>
          </w:tcPr>
          <w:p w:rsidR="00393EC2" w:rsidRPr="00E203A1" w:rsidRDefault="00393EC2" w:rsidP="00393EC2">
            <w:pPr>
              <w:jc w:val="right"/>
              <w:rPr>
                <w:rFonts w:ascii="Arial"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lastRenderedPageBreak/>
              <w:t>Cua, ghẹ</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131,2</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121,5</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124,5</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124,5</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134,3</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134,3</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174,5</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43.7</w:t>
            </w: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393EC2">
            <w:pPr>
              <w:rPr>
                <w:rFonts w:ascii="Arial" w:eastAsia="Times New Roman" w:hAnsi="Arial" w:cs="Arial"/>
                <w:bCs/>
                <w:color w:val="000000"/>
                <w:sz w:val="20"/>
                <w:szCs w:val="20"/>
              </w:rPr>
            </w:pP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-7.4</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2.5</w:t>
            </w:r>
          </w:p>
        </w:tc>
        <w:tc>
          <w:tcPr>
            <w:tcW w:w="507"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0.0</w:t>
            </w:r>
          </w:p>
        </w:tc>
        <w:tc>
          <w:tcPr>
            <w:tcW w:w="580"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7.8</w:t>
            </w:r>
          </w:p>
        </w:tc>
        <w:tc>
          <w:tcPr>
            <w:tcW w:w="509"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0.0</w:t>
            </w:r>
          </w:p>
        </w:tc>
        <w:tc>
          <w:tcPr>
            <w:tcW w:w="578" w:type="pct"/>
            <w:noWrap/>
            <w:hideMark/>
          </w:tcPr>
          <w:p w:rsidR="00393EC2" w:rsidRPr="00E203A1" w:rsidRDefault="00393EC2" w:rsidP="00393EC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30.0</w:t>
            </w:r>
          </w:p>
        </w:tc>
        <w:tc>
          <w:tcPr>
            <w:tcW w:w="576" w:type="pct"/>
            <w:vAlign w:val="bottom"/>
          </w:tcPr>
          <w:p w:rsidR="00393EC2" w:rsidRPr="00E203A1" w:rsidRDefault="00393EC2" w:rsidP="00393EC2">
            <w:pPr>
              <w:jc w:val="right"/>
              <w:rPr>
                <w:rFonts w:ascii="Arial" w:hAnsi="Arial" w:cs="Arial"/>
                <w:color w:val="000000"/>
                <w:sz w:val="20"/>
                <w:szCs w:val="20"/>
              </w:rPr>
            </w:pPr>
          </w:p>
        </w:tc>
      </w:tr>
      <w:tr w:rsidR="00393EC2" w:rsidRPr="00E203A1" w:rsidTr="00393EC2">
        <w:trPr>
          <w:trHeight w:val="330"/>
        </w:trPr>
        <w:tc>
          <w:tcPr>
            <w:tcW w:w="769" w:type="pct"/>
            <w:noWrap/>
            <w:hideMark/>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 xml:space="preserve">Surimi </w:t>
            </w:r>
          </w:p>
        </w:tc>
        <w:tc>
          <w:tcPr>
            <w:tcW w:w="463"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293,8</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303,9</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256,1</w:t>
            </w:r>
          </w:p>
        </w:tc>
        <w:tc>
          <w:tcPr>
            <w:tcW w:w="507"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256,1</w:t>
            </w:r>
          </w:p>
        </w:tc>
        <w:tc>
          <w:tcPr>
            <w:tcW w:w="580"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324,0</w:t>
            </w:r>
          </w:p>
        </w:tc>
        <w:tc>
          <w:tcPr>
            <w:tcW w:w="509" w:type="pct"/>
            <w:vAlign w:val="bottom"/>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342,4</w:t>
            </w:r>
          </w:p>
        </w:tc>
        <w:tc>
          <w:tcPr>
            <w:tcW w:w="578" w:type="pct"/>
            <w:noWrap/>
            <w:hideMark/>
          </w:tcPr>
          <w:p w:rsidR="00393EC2" w:rsidRPr="00E203A1" w:rsidRDefault="00393EC2" w:rsidP="00393EC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322,6</w:t>
            </w:r>
          </w:p>
        </w:tc>
        <w:tc>
          <w:tcPr>
            <w:tcW w:w="576" w:type="pct"/>
            <w:vAlign w:val="bottom"/>
          </w:tcPr>
          <w:p w:rsidR="00393EC2" w:rsidRPr="00E203A1" w:rsidRDefault="00393EC2" w:rsidP="00393EC2">
            <w:pPr>
              <w:jc w:val="right"/>
              <w:rPr>
                <w:rFonts w:ascii="Arial" w:hAnsi="Arial" w:cs="Arial"/>
                <w:color w:val="000000"/>
                <w:sz w:val="20"/>
                <w:szCs w:val="20"/>
              </w:rPr>
            </w:pPr>
            <w:r w:rsidRPr="00E203A1">
              <w:rPr>
                <w:rFonts w:ascii="Arial" w:hAnsi="Arial" w:cs="Arial"/>
                <w:color w:val="000000"/>
                <w:sz w:val="20"/>
                <w:szCs w:val="20"/>
              </w:rPr>
              <w:t>6.1</w:t>
            </w:r>
          </w:p>
        </w:tc>
      </w:tr>
      <w:tr w:rsidR="00393EC2" w:rsidRPr="00E203A1" w:rsidTr="00393EC2">
        <w:trPr>
          <w:trHeight w:val="330"/>
        </w:trPr>
        <w:tc>
          <w:tcPr>
            <w:tcW w:w="769" w:type="pct"/>
            <w:noWrap/>
            <w:hideMark/>
          </w:tcPr>
          <w:p w:rsidR="00393EC2" w:rsidRPr="00E203A1" w:rsidRDefault="00393EC2" w:rsidP="000B6C7E">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hideMark/>
          </w:tcPr>
          <w:p w:rsidR="00393EC2" w:rsidRPr="00E203A1" w:rsidRDefault="00393EC2" w:rsidP="000B6C7E">
            <w:pPr>
              <w:rPr>
                <w:rFonts w:ascii="Arial" w:eastAsia="Times New Roman" w:hAnsi="Arial" w:cs="Arial"/>
                <w:bCs/>
                <w:color w:val="000000"/>
                <w:sz w:val="20"/>
                <w:szCs w:val="20"/>
              </w:rPr>
            </w:pPr>
          </w:p>
        </w:tc>
        <w:tc>
          <w:tcPr>
            <w:tcW w:w="509"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3.4</w:t>
            </w:r>
          </w:p>
        </w:tc>
        <w:tc>
          <w:tcPr>
            <w:tcW w:w="509"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-15.7</w:t>
            </w:r>
          </w:p>
        </w:tc>
        <w:tc>
          <w:tcPr>
            <w:tcW w:w="507"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0.0</w:t>
            </w:r>
          </w:p>
        </w:tc>
        <w:tc>
          <w:tcPr>
            <w:tcW w:w="580"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26.5</w:t>
            </w:r>
          </w:p>
        </w:tc>
        <w:tc>
          <w:tcPr>
            <w:tcW w:w="509"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5.7</w:t>
            </w:r>
          </w:p>
        </w:tc>
        <w:tc>
          <w:tcPr>
            <w:tcW w:w="578" w:type="pct"/>
            <w:noWrap/>
            <w:hideMark/>
          </w:tcPr>
          <w:p w:rsidR="00393EC2" w:rsidRPr="00E203A1" w:rsidRDefault="00393EC2" w:rsidP="000B6C7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-5.8</w:t>
            </w:r>
          </w:p>
        </w:tc>
        <w:tc>
          <w:tcPr>
            <w:tcW w:w="576" w:type="pct"/>
          </w:tcPr>
          <w:p w:rsidR="00393EC2" w:rsidRPr="00E203A1" w:rsidRDefault="00393EC2" w:rsidP="000B6C7E">
            <w:pPr>
              <w:jc w:val="right"/>
              <w:rPr>
                <w:rFonts w:ascii="Arial" w:eastAsia="Times New Roman" w:hAnsi="Arial" w:cs="Arial"/>
                <w:color w:val="000000"/>
                <w:sz w:val="20"/>
                <w:szCs w:val="20"/>
              </w:rPr>
            </w:pPr>
          </w:p>
        </w:tc>
      </w:tr>
      <w:tr w:rsidR="00393EC2" w:rsidRPr="00E203A1" w:rsidTr="00393EC2">
        <w:trPr>
          <w:trHeight w:val="330"/>
        </w:trPr>
        <w:tc>
          <w:tcPr>
            <w:tcW w:w="769" w:type="pct"/>
            <w:noWrap/>
          </w:tcPr>
          <w:p w:rsidR="00393EC2" w:rsidRPr="00E203A1" w:rsidRDefault="00393EC2" w:rsidP="00393EC2">
            <w:pPr>
              <w:rPr>
                <w:rFonts w:ascii="Arial" w:eastAsia="Times New Roman" w:hAnsi="Arial" w:cs="Arial"/>
                <w:b/>
                <w:bCs/>
                <w:sz w:val="20"/>
                <w:szCs w:val="20"/>
              </w:rPr>
            </w:pPr>
            <w:r w:rsidRPr="00E203A1">
              <w:rPr>
                <w:rFonts w:ascii="Arial" w:eastAsia="Times New Roman" w:hAnsi="Arial" w:cs="Arial"/>
                <w:b/>
                <w:bCs/>
                <w:sz w:val="20"/>
                <w:szCs w:val="20"/>
              </w:rPr>
              <w:t>Cá</w:t>
            </w:r>
            <w:r w:rsidR="00BA03F3" w:rsidRPr="00E203A1">
              <w:rPr>
                <w:rFonts w:ascii="Arial" w:eastAsia="Times New Roman" w:hAnsi="Arial" w:cs="Arial"/>
                <w:b/>
                <w:bCs/>
                <w:sz w:val="20"/>
                <w:szCs w:val="20"/>
              </w:rPr>
              <w:t xml:space="preserve"> biển</w:t>
            </w:r>
            <w:r w:rsidRPr="00E203A1">
              <w:rPr>
                <w:rFonts w:ascii="Arial" w:eastAsia="Times New Roman" w:hAnsi="Arial" w:cs="Arial"/>
                <w:b/>
                <w:bCs/>
                <w:sz w:val="20"/>
                <w:szCs w:val="20"/>
              </w:rPr>
              <w:t xml:space="preserve"> và hải sản khác</w:t>
            </w:r>
          </w:p>
        </w:tc>
        <w:tc>
          <w:tcPr>
            <w:tcW w:w="463"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642,4</w:t>
            </w:r>
          </w:p>
        </w:tc>
        <w:tc>
          <w:tcPr>
            <w:tcW w:w="509"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663,1</w:t>
            </w:r>
          </w:p>
        </w:tc>
        <w:tc>
          <w:tcPr>
            <w:tcW w:w="509"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775,7</w:t>
            </w:r>
          </w:p>
        </w:tc>
        <w:tc>
          <w:tcPr>
            <w:tcW w:w="507"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980,1</w:t>
            </w:r>
          </w:p>
        </w:tc>
        <w:tc>
          <w:tcPr>
            <w:tcW w:w="580"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1.113,9</w:t>
            </w:r>
          </w:p>
        </w:tc>
        <w:tc>
          <w:tcPr>
            <w:tcW w:w="509" w:type="pct"/>
            <w:noWrap/>
            <w:vAlign w:val="bottom"/>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1.344,6</w:t>
            </w:r>
          </w:p>
        </w:tc>
        <w:tc>
          <w:tcPr>
            <w:tcW w:w="578" w:type="pct"/>
            <w:noWrap/>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1.371,5</w:t>
            </w:r>
          </w:p>
        </w:tc>
        <w:tc>
          <w:tcPr>
            <w:tcW w:w="576" w:type="pct"/>
          </w:tcPr>
          <w:p w:rsidR="00393EC2" w:rsidRPr="00E203A1" w:rsidRDefault="00393EC2" w:rsidP="008307B2">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106,8</w:t>
            </w:r>
          </w:p>
        </w:tc>
      </w:tr>
      <w:tr w:rsidR="00393EC2" w:rsidRPr="00E203A1" w:rsidTr="00393EC2">
        <w:trPr>
          <w:trHeight w:val="330"/>
        </w:trPr>
        <w:tc>
          <w:tcPr>
            <w:tcW w:w="769" w:type="pct"/>
            <w:noWrap/>
          </w:tcPr>
          <w:p w:rsidR="00393EC2" w:rsidRPr="00E203A1" w:rsidRDefault="00393EC2" w:rsidP="008307B2">
            <w:pPr>
              <w:rPr>
                <w:rFonts w:ascii="Arial" w:eastAsia="Times New Roman" w:hAnsi="Arial" w:cs="Arial"/>
                <w:bCs/>
                <w:color w:val="000000"/>
                <w:sz w:val="20"/>
                <w:szCs w:val="20"/>
              </w:rPr>
            </w:pPr>
            <w:r w:rsidRPr="00E203A1">
              <w:rPr>
                <w:rFonts w:ascii="Arial" w:eastAsia="Times New Roman" w:hAnsi="Arial" w:cs="Arial"/>
                <w:bCs/>
                <w:color w:val="000000"/>
                <w:sz w:val="20"/>
                <w:szCs w:val="20"/>
              </w:rPr>
              <w:t xml:space="preserve">Tăng trưởng </w:t>
            </w:r>
            <w:r w:rsidRPr="00E203A1">
              <w:rPr>
                <w:rFonts w:ascii="Arial" w:eastAsia="Times New Roman" w:hAnsi="Arial" w:cs="Arial"/>
                <w:color w:val="000000"/>
                <w:sz w:val="20"/>
                <w:szCs w:val="20"/>
              </w:rPr>
              <w:t>(%)</w:t>
            </w:r>
          </w:p>
        </w:tc>
        <w:tc>
          <w:tcPr>
            <w:tcW w:w="463" w:type="pct"/>
            <w:noWrap/>
          </w:tcPr>
          <w:p w:rsidR="00393EC2" w:rsidRPr="00E203A1" w:rsidRDefault="00393EC2" w:rsidP="008307B2">
            <w:pPr>
              <w:rPr>
                <w:rFonts w:ascii="Arial" w:eastAsia="Times New Roman" w:hAnsi="Arial" w:cs="Arial"/>
                <w:bCs/>
                <w:color w:val="000000"/>
                <w:sz w:val="20"/>
                <w:szCs w:val="20"/>
              </w:rPr>
            </w:pPr>
          </w:p>
        </w:tc>
        <w:tc>
          <w:tcPr>
            <w:tcW w:w="509"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3.2</w:t>
            </w:r>
          </w:p>
        </w:tc>
        <w:tc>
          <w:tcPr>
            <w:tcW w:w="509"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17.0</w:t>
            </w:r>
          </w:p>
        </w:tc>
        <w:tc>
          <w:tcPr>
            <w:tcW w:w="507"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26.3</w:t>
            </w:r>
          </w:p>
        </w:tc>
        <w:tc>
          <w:tcPr>
            <w:tcW w:w="580"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13.6</w:t>
            </w:r>
          </w:p>
        </w:tc>
        <w:tc>
          <w:tcPr>
            <w:tcW w:w="509"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20.7</w:t>
            </w:r>
          </w:p>
        </w:tc>
        <w:tc>
          <w:tcPr>
            <w:tcW w:w="578" w:type="pct"/>
            <w:noWrap/>
          </w:tcPr>
          <w:p w:rsidR="00393EC2" w:rsidRPr="00E203A1" w:rsidRDefault="00393EC2" w:rsidP="008307B2">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w:t>
            </w:r>
          </w:p>
        </w:tc>
        <w:tc>
          <w:tcPr>
            <w:tcW w:w="576" w:type="pct"/>
          </w:tcPr>
          <w:p w:rsidR="00393EC2" w:rsidRPr="00E203A1" w:rsidRDefault="00393EC2" w:rsidP="008307B2">
            <w:pPr>
              <w:jc w:val="right"/>
              <w:rPr>
                <w:rFonts w:ascii="Arial" w:eastAsia="Times New Roman" w:hAnsi="Arial" w:cs="Arial"/>
                <w:color w:val="000000"/>
                <w:sz w:val="20"/>
                <w:szCs w:val="20"/>
              </w:rPr>
            </w:pPr>
          </w:p>
        </w:tc>
      </w:tr>
      <w:tr w:rsidR="00393EC2" w:rsidRPr="00E203A1" w:rsidTr="00393EC2">
        <w:trPr>
          <w:trHeight w:val="315"/>
        </w:trPr>
        <w:tc>
          <w:tcPr>
            <w:tcW w:w="769" w:type="pct"/>
            <w:noWrap/>
          </w:tcPr>
          <w:p w:rsidR="00393EC2" w:rsidRPr="00E203A1" w:rsidRDefault="00393EC2" w:rsidP="008307B2">
            <w:pPr>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 xml:space="preserve">Tổng </w:t>
            </w:r>
          </w:p>
        </w:tc>
        <w:tc>
          <w:tcPr>
            <w:tcW w:w="463"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7.836,0</w:t>
            </w:r>
          </w:p>
        </w:tc>
        <w:tc>
          <w:tcPr>
            <w:tcW w:w="509"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6.572,6</w:t>
            </w:r>
          </w:p>
        </w:tc>
        <w:tc>
          <w:tcPr>
            <w:tcW w:w="509"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7.053,1</w:t>
            </w:r>
          </w:p>
        </w:tc>
        <w:tc>
          <w:tcPr>
            <w:tcW w:w="507"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8.315,7</w:t>
            </w:r>
          </w:p>
        </w:tc>
        <w:tc>
          <w:tcPr>
            <w:tcW w:w="580"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8.801,9</w:t>
            </w:r>
          </w:p>
        </w:tc>
        <w:tc>
          <w:tcPr>
            <w:tcW w:w="509" w:type="pct"/>
            <w:noWrap/>
            <w:vAlign w:val="bottom"/>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8.578,5</w:t>
            </w:r>
          </w:p>
        </w:tc>
        <w:tc>
          <w:tcPr>
            <w:tcW w:w="578" w:type="pct"/>
            <w:noWrap/>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8.587,1</w:t>
            </w:r>
          </w:p>
        </w:tc>
        <w:tc>
          <w:tcPr>
            <w:tcW w:w="576" w:type="pct"/>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30,6</w:t>
            </w:r>
          </w:p>
        </w:tc>
      </w:tr>
      <w:tr w:rsidR="00393EC2" w:rsidRPr="00E203A1" w:rsidTr="00393EC2">
        <w:trPr>
          <w:trHeight w:val="315"/>
        </w:trPr>
        <w:tc>
          <w:tcPr>
            <w:tcW w:w="769" w:type="pct"/>
            <w:noWrap/>
          </w:tcPr>
          <w:p w:rsidR="00393EC2" w:rsidRPr="00E203A1" w:rsidRDefault="00393EC2" w:rsidP="008307B2">
            <w:pPr>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 xml:space="preserve">Tăng trưởng </w:t>
            </w:r>
            <w:r w:rsidRPr="00E203A1">
              <w:rPr>
                <w:rFonts w:ascii="Arial" w:eastAsia="Times New Roman" w:hAnsi="Arial" w:cs="Arial"/>
                <w:color w:val="000000"/>
                <w:sz w:val="20"/>
                <w:szCs w:val="20"/>
              </w:rPr>
              <w:t>(%)</w:t>
            </w:r>
          </w:p>
        </w:tc>
        <w:tc>
          <w:tcPr>
            <w:tcW w:w="463" w:type="pct"/>
            <w:noWrap/>
          </w:tcPr>
          <w:p w:rsidR="00393EC2" w:rsidRPr="00E203A1" w:rsidRDefault="00393EC2" w:rsidP="008307B2">
            <w:pPr>
              <w:rPr>
                <w:rFonts w:ascii="Arial" w:eastAsia="Times New Roman" w:hAnsi="Arial" w:cs="Arial"/>
                <w:b/>
                <w:bCs/>
                <w:color w:val="FF0000"/>
                <w:sz w:val="20"/>
                <w:szCs w:val="20"/>
              </w:rPr>
            </w:pPr>
          </w:p>
        </w:tc>
        <w:tc>
          <w:tcPr>
            <w:tcW w:w="509" w:type="pct"/>
            <w:noWrap/>
          </w:tcPr>
          <w:p w:rsidR="00393EC2" w:rsidRPr="00E203A1" w:rsidRDefault="00393EC2" w:rsidP="008307B2">
            <w:pPr>
              <w:jc w:val="right"/>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-16.1</w:t>
            </w:r>
          </w:p>
        </w:tc>
        <w:tc>
          <w:tcPr>
            <w:tcW w:w="509" w:type="pct"/>
            <w:noWrap/>
          </w:tcPr>
          <w:p w:rsidR="00393EC2" w:rsidRPr="00E203A1" w:rsidRDefault="00393EC2" w:rsidP="008307B2">
            <w:pPr>
              <w:jc w:val="right"/>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7.3</w:t>
            </w:r>
          </w:p>
        </w:tc>
        <w:tc>
          <w:tcPr>
            <w:tcW w:w="507" w:type="pct"/>
            <w:noWrap/>
          </w:tcPr>
          <w:p w:rsidR="00393EC2" w:rsidRPr="00E203A1" w:rsidRDefault="00393EC2" w:rsidP="008307B2">
            <w:pPr>
              <w:jc w:val="right"/>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17.9</w:t>
            </w:r>
          </w:p>
        </w:tc>
        <w:tc>
          <w:tcPr>
            <w:tcW w:w="580" w:type="pct"/>
            <w:noWrap/>
          </w:tcPr>
          <w:p w:rsidR="00393EC2" w:rsidRPr="00E203A1" w:rsidRDefault="00393EC2" w:rsidP="008307B2">
            <w:pPr>
              <w:jc w:val="right"/>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5.8</w:t>
            </w:r>
          </w:p>
        </w:tc>
        <w:tc>
          <w:tcPr>
            <w:tcW w:w="509" w:type="pct"/>
            <w:noWrap/>
          </w:tcPr>
          <w:p w:rsidR="00393EC2" w:rsidRPr="00E203A1" w:rsidRDefault="00393EC2" w:rsidP="008307B2">
            <w:pPr>
              <w:jc w:val="right"/>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-2.5</w:t>
            </w:r>
          </w:p>
        </w:tc>
        <w:tc>
          <w:tcPr>
            <w:tcW w:w="578" w:type="pct"/>
            <w:noWrap/>
          </w:tcPr>
          <w:p w:rsidR="00393EC2" w:rsidRPr="00E203A1" w:rsidRDefault="00393EC2" w:rsidP="008307B2">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0.0</w:t>
            </w:r>
          </w:p>
        </w:tc>
        <w:tc>
          <w:tcPr>
            <w:tcW w:w="576" w:type="pct"/>
          </w:tcPr>
          <w:p w:rsidR="00393EC2" w:rsidRPr="00E203A1" w:rsidRDefault="00393EC2" w:rsidP="008307B2">
            <w:pPr>
              <w:jc w:val="right"/>
              <w:rPr>
                <w:rFonts w:ascii="Arial" w:eastAsia="Times New Roman" w:hAnsi="Arial" w:cs="Arial"/>
                <w:b/>
                <w:color w:val="FF0000"/>
                <w:sz w:val="20"/>
                <w:szCs w:val="20"/>
              </w:rPr>
            </w:pPr>
          </w:p>
        </w:tc>
      </w:tr>
    </w:tbl>
    <w:p w:rsidR="006C2EB0" w:rsidRPr="00E203A1" w:rsidRDefault="006C2EB0" w:rsidP="00D6000E">
      <w:pPr>
        <w:jc w:val="both"/>
        <w:rPr>
          <w:rFonts w:ascii="Arial" w:hAnsi="Arial" w:cs="Arial"/>
          <w:b/>
          <w:color w:val="002060"/>
          <w:sz w:val="32"/>
          <w:szCs w:val="32"/>
        </w:rPr>
      </w:pPr>
    </w:p>
    <w:p w:rsidR="000B6C7E" w:rsidRPr="00E203A1" w:rsidRDefault="00BA03F3" w:rsidP="00D6000E">
      <w:pPr>
        <w:jc w:val="both"/>
        <w:rPr>
          <w:rFonts w:ascii="Arial" w:hAnsi="Arial" w:cs="Arial"/>
          <w:b/>
          <w:color w:val="002060"/>
          <w:sz w:val="32"/>
          <w:szCs w:val="32"/>
        </w:rPr>
      </w:pPr>
      <w:r w:rsidRPr="00E203A1">
        <w:rPr>
          <w:rFonts w:ascii="Arial" w:hAnsi="Arial" w:cs="Arial"/>
          <w:b/>
          <w:color w:val="002060"/>
          <w:sz w:val="32"/>
          <w:szCs w:val="32"/>
        </w:rPr>
        <w:t xml:space="preserve">2. Thị trường </w:t>
      </w:r>
    </w:p>
    <w:p w:rsidR="009F10DE" w:rsidRPr="00E203A1" w:rsidRDefault="009F10DE" w:rsidP="00531918">
      <w:pPr>
        <w:spacing w:before="120" w:after="120" w:line="320" w:lineRule="exact"/>
        <w:jc w:val="both"/>
        <w:rPr>
          <w:rFonts w:ascii="Arial" w:hAnsi="Arial" w:cs="Arial"/>
          <w:sz w:val="22"/>
        </w:rPr>
      </w:pPr>
      <w:r w:rsidRPr="00E203A1">
        <w:rPr>
          <w:rFonts w:ascii="Arial" w:hAnsi="Arial" w:cs="Arial"/>
          <w:sz w:val="22"/>
        </w:rPr>
        <w:t xml:space="preserve">- Trong 5 năm qua, thủy sản Việt Nam được XK sang trên 160 thị trường trên thế giới. </w:t>
      </w:r>
    </w:p>
    <w:p w:rsidR="009F10DE" w:rsidRPr="00E203A1" w:rsidRDefault="009F10DE" w:rsidP="00531918">
      <w:pPr>
        <w:spacing w:before="120" w:after="120" w:line="320" w:lineRule="exact"/>
        <w:jc w:val="both"/>
        <w:rPr>
          <w:rFonts w:ascii="Arial" w:hAnsi="Arial" w:cs="Arial"/>
          <w:sz w:val="22"/>
        </w:rPr>
      </w:pPr>
      <w:r w:rsidRPr="00E203A1">
        <w:rPr>
          <w:rFonts w:ascii="Arial" w:hAnsi="Arial" w:cs="Arial"/>
          <w:sz w:val="22"/>
        </w:rPr>
        <w:t xml:space="preserve">- Top 6 thị trường lớn nhất gồm: Mỹ, Nhật Bản, EU, Trung Quốc, Hàn Quốc và ASEAN chiếm tỷ trọng chi phối, từ 78-83% theo xu hướng tăng dần lên trong những năm gần đây. </w:t>
      </w:r>
    </w:p>
    <w:p w:rsidR="00531918" w:rsidRPr="00E203A1" w:rsidRDefault="00531918" w:rsidP="00531918">
      <w:pPr>
        <w:spacing w:before="120" w:after="120" w:line="320" w:lineRule="exact"/>
        <w:jc w:val="both"/>
        <w:rPr>
          <w:rFonts w:ascii="Arial" w:hAnsi="Arial" w:cs="Arial"/>
          <w:sz w:val="22"/>
        </w:rPr>
      </w:pPr>
      <w:r w:rsidRPr="00E203A1">
        <w:rPr>
          <w:rFonts w:ascii="Arial" w:hAnsi="Arial" w:cs="Arial"/>
          <w:sz w:val="22"/>
        </w:rPr>
        <w:t>- XK sang Trung Quốc tăng mạnh nhất: tăng 142% sau 5 năm và tỷ trọng của thị trường này tăng liên tục từ 9,4% lên 16,5% tổng giá trị XK thủy sản của Việt Nam.</w:t>
      </w:r>
    </w:p>
    <w:p w:rsidR="00531918" w:rsidRPr="00E203A1" w:rsidRDefault="00531918" w:rsidP="00531918">
      <w:pPr>
        <w:spacing w:before="120" w:after="120" w:line="320" w:lineRule="exact"/>
        <w:jc w:val="both"/>
        <w:rPr>
          <w:rFonts w:ascii="Arial" w:hAnsi="Arial" w:cs="Arial"/>
          <w:sz w:val="22"/>
        </w:rPr>
      </w:pPr>
      <w:r w:rsidRPr="00E203A1">
        <w:rPr>
          <w:rFonts w:ascii="Arial" w:hAnsi="Arial" w:cs="Arial"/>
          <w:sz w:val="22"/>
        </w:rPr>
        <w:t xml:space="preserve">- Ngoài ra, tỷ trọng của Hàn Quốc và ASEAN tăng nhẹ trong khi tỷ trọng của thị trường Mỹ và EU giảm. Tuy nhiên, so với năm 2015, XK sang Nhật Bản vẫn tăng mạnh 36% và sang Mỹ tăng 26%. </w:t>
      </w:r>
    </w:p>
    <w:p w:rsidR="00531918" w:rsidRPr="00E203A1" w:rsidRDefault="00531918" w:rsidP="00D6000E">
      <w:pPr>
        <w:jc w:val="both"/>
        <w:rPr>
          <w:rFonts w:ascii="Arial" w:hAnsi="Arial" w:cs="Arial"/>
          <w:b/>
          <w:color w:val="002060"/>
          <w:sz w:val="32"/>
          <w:szCs w:val="32"/>
        </w:rPr>
      </w:pPr>
    </w:p>
    <w:tbl>
      <w:tblPr>
        <w:tblStyle w:val="TableGrid"/>
        <w:tblW w:w="10040" w:type="dxa"/>
        <w:tblLook w:val="04A0" w:firstRow="1" w:lastRow="0" w:firstColumn="1" w:lastColumn="0" w:noHBand="0" w:noVBand="1"/>
      </w:tblPr>
      <w:tblGrid>
        <w:gridCol w:w="1138"/>
        <w:gridCol w:w="1340"/>
        <w:gridCol w:w="1340"/>
        <w:gridCol w:w="960"/>
        <w:gridCol w:w="1220"/>
        <w:gridCol w:w="960"/>
        <w:gridCol w:w="960"/>
        <w:gridCol w:w="960"/>
        <w:gridCol w:w="1162"/>
      </w:tblGrid>
      <w:tr w:rsidR="009F10DE" w:rsidRPr="00E203A1" w:rsidTr="00B4147B">
        <w:trPr>
          <w:trHeight w:val="300"/>
        </w:trPr>
        <w:tc>
          <w:tcPr>
            <w:tcW w:w="10040" w:type="dxa"/>
            <w:gridSpan w:val="9"/>
            <w:shd w:val="clear" w:color="auto" w:fill="D9E2F3" w:themeFill="accent5" w:themeFillTint="33"/>
            <w:vAlign w:val="bottom"/>
          </w:tcPr>
          <w:p w:rsidR="009F10DE" w:rsidRPr="00E203A1" w:rsidRDefault="009F10DE" w:rsidP="00B4147B">
            <w:pPr>
              <w:jc w:val="center"/>
              <w:rPr>
                <w:rFonts w:ascii="Arial" w:eastAsia="Times New Roman" w:hAnsi="Arial" w:cs="Arial"/>
                <w:color w:val="000000"/>
                <w:sz w:val="20"/>
                <w:szCs w:val="20"/>
              </w:rPr>
            </w:pPr>
            <w:r w:rsidRPr="00E203A1">
              <w:rPr>
                <w:rFonts w:ascii="Arial" w:eastAsia="Times New Roman" w:hAnsi="Arial" w:cs="Arial"/>
                <w:b/>
                <w:bCs/>
                <w:color w:val="000000"/>
                <w:sz w:val="20"/>
                <w:szCs w:val="20"/>
              </w:rPr>
              <w:t>Kết quả XK thủy sản Việt Nam, theo thị</w:t>
            </w:r>
            <w:r w:rsidR="00FF52D7" w:rsidRPr="00E203A1">
              <w:rPr>
                <w:rFonts w:ascii="Arial" w:eastAsia="Times New Roman" w:hAnsi="Arial" w:cs="Arial"/>
                <w:b/>
                <w:bCs/>
                <w:color w:val="000000"/>
                <w:sz w:val="20"/>
                <w:szCs w:val="20"/>
              </w:rPr>
              <w:t xml:space="preserve"> </w:t>
            </w:r>
            <w:r w:rsidRPr="00E203A1">
              <w:rPr>
                <w:rFonts w:ascii="Arial" w:eastAsia="Times New Roman" w:hAnsi="Arial" w:cs="Arial"/>
                <w:b/>
                <w:bCs/>
                <w:color w:val="000000"/>
                <w:sz w:val="20"/>
                <w:szCs w:val="20"/>
              </w:rPr>
              <w:t>trường, 2015 – 2020 (ĐVT: triệu USD)</w:t>
            </w:r>
          </w:p>
        </w:tc>
      </w:tr>
      <w:tr w:rsidR="009F10DE" w:rsidRPr="00E203A1" w:rsidTr="00B4147B">
        <w:trPr>
          <w:trHeight w:val="300"/>
        </w:trPr>
        <w:tc>
          <w:tcPr>
            <w:tcW w:w="1138" w:type="dxa"/>
            <w:shd w:val="clear" w:color="auto" w:fill="D9E2F3" w:themeFill="accent5" w:themeFillTint="33"/>
          </w:tcPr>
          <w:p w:rsidR="009F10DE" w:rsidRPr="00E203A1" w:rsidRDefault="009F10DE" w:rsidP="009F10DE">
            <w:pPr>
              <w:rPr>
                <w:rFonts w:ascii="Arial" w:eastAsia="Times New Roman" w:hAnsi="Arial" w:cs="Arial"/>
                <w:b/>
                <w:sz w:val="20"/>
                <w:szCs w:val="20"/>
              </w:rPr>
            </w:pPr>
            <w:r w:rsidRPr="00E203A1">
              <w:rPr>
                <w:rFonts w:ascii="Arial" w:eastAsia="Times New Roman" w:hAnsi="Arial" w:cs="Arial"/>
                <w:b/>
                <w:sz w:val="20"/>
                <w:szCs w:val="20"/>
              </w:rPr>
              <w:t xml:space="preserve">Thị trường  </w:t>
            </w:r>
          </w:p>
        </w:tc>
        <w:tc>
          <w:tcPr>
            <w:tcW w:w="134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2014</w:t>
            </w:r>
          </w:p>
        </w:tc>
        <w:tc>
          <w:tcPr>
            <w:tcW w:w="134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2015</w:t>
            </w:r>
          </w:p>
        </w:tc>
        <w:tc>
          <w:tcPr>
            <w:tcW w:w="96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2016</w:t>
            </w:r>
          </w:p>
        </w:tc>
        <w:tc>
          <w:tcPr>
            <w:tcW w:w="122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2017</w:t>
            </w:r>
          </w:p>
        </w:tc>
        <w:tc>
          <w:tcPr>
            <w:tcW w:w="96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2018</w:t>
            </w:r>
          </w:p>
        </w:tc>
        <w:tc>
          <w:tcPr>
            <w:tcW w:w="96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2019</w:t>
            </w:r>
          </w:p>
        </w:tc>
        <w:tc>
          <w:tcPr>
            <w:tcW w:w="960"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2020 (ước)</w:t>
            </w:r>
          </w:p>
        </w:tc>
        <w:tc>
          <w:tcPr>
            <w:tcW w:w="1162" w:type="dxa"/>
            <w:shd w:val="clear" w:color="auto" w:fill="D9E2F3" w:themeFill="accent5" w:themeFillTint="33"/>
            <w:noWrap/>
          </w:tcPr>
          <w:p w:rsidR="009F10DE" w:rsidRPr="00E203A1" w:rsidRDefault="009F10DE" w:rsidP="009F10D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Tăng trưởng 2020/2015</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Nhật Bản</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1.211,1</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1.042,8</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FF52D7" w:rsidRPr="00E203A1">
              <w:rPr>
                <w:rFonts w:ascii="Arial" w:eastAsia="Times New Roman" w:hAnsi="Arial" w:cs="Arial"/>
                <w:color w:val="000000"/>
                <w:sz w:val="20"/>
                <w:szCs w:val="20"/>
              </w:rPr>
              <w:t>.</w:t>
            </w:r>
            <w:r w:rsidRPr="00E203A1">
              <w:rPr>
                <w:rFonts w:ascii="Arial" w:eastAsia="Times New Roman" w:hAnsi="Arial" w:cs="Arial"/>
                <w:color w:val="000000"/>
                <w:sz w:val="20"/>
                <w:szCs w:val="20"/>
              </w:rPr>
              <w:t>104,6</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FF52D7" w:rsidRPr="00E203A1">
              <w:rPr>
                <w:rFonts w:ascii="Arial" w:eastAsia="Times New Roman" w:hAnsi="Arial" w:cs="Arial"/>
                <w:color w:val="000000"/>
                <w:sz w:val="20"/>
                <w:szCs w:val="20"/>
              </w:rPr>
              <w:t>.</w:t>
            </w:r>
            <w:r w:rsidRPr="00E203A1">
              <w:rPr>
                <w:rFonts w:ascii="Arial" w:eastAsia="Times New Roman" w:hAnsi="Arial" w:cs="Arial"/>
                <w:color w:val="000000"/>
                <w:sz w:val="20"/>
                <w:szCs w:val="20"/>
              </w:rPr>
              <w:t>309,4</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1.378,1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FF52D7" w:rsidRPr="00E203A1">
              <w:rPr>
                <w:rFonts w:ascii="Arial" w:eastAsia="Times New Roman" w:hAnsi="Arial" w:cs="Arial"/>
                <w:color w:val="000000"/>
                <w:sz w:val="20"/>
                <w:szCs w:val="20"/>
              </w:rPr>
              <w:t>.</w:t>
            </w:r>
            <w:r w:rsidRPr="00E203A1">
              <w:rPr>
                <w:rFonts w:ascii="Arial" w:eastAsia="Times New Roman" w:hAnsi="Arial" w:cs="Arial"/>
                <w:color w:val="000000"/>
                <w:sz w:val="20"/>
                <w:szCs w:val="20"/>
              </w:rPr>
              <w:t>462,1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1.418,2</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36,0</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Mỹ</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1.744,5</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1.321,9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1.453,6</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1.417,6</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1.623,0</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FF52D7" w:rsidRPr="00E203A1">
              <w:rPr>
                <w:rFonts w:ascii="Arial" w:eastAsia="Times New Roman" w:hAnsi="Arial" w:cs="Arial"/>
                <w:color w:val="000000"/>
                <w:sz w:val="20"/>
                <w:szCs w:val="20"/>
              </w:rPr>
              <w:t>.</w:t>
            </w:r>
            <w:r w:rsidRPr="00E203A1">
              <w:rPr>
                <w:rFonts w:ascii="Arial" w:eastAsia="Times New Roman" w:hAnsi="Arial" w:cs="Arial"/>
                <w:color w:val="000000"/>
                <w:sz w:val="20"/>
                <w:szCs w:val="20"/>
              </w:rPr>
              <w:t>474,0</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1.665,6</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26,0</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Trung Quốc</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597,1</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615,2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859,9</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1276,3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1210,9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1.417,2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1.488,1</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141,9</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EU</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1.429,0</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1175,3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1218,5</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1.480,7</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1.471,8</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1.297,2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991,2</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-15,7</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Hàn Quốc</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662,8</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585,1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617,3</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786,3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864,1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782,9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770,4</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31,7</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 xml:space="preserve">ASEAN </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452,9</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499,2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526,1</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611,9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669,3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692,1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567,5</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13,7</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Canada</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268,1</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197,1</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186,7</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224,9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239,8</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229,9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264,3</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34,1</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Australia</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239,2</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179,0</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191,3</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187,0</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270,2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208,3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218,7</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22,2</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Nga</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106,2</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84,3</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97,9</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97,8</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86,5</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102,8</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143,9</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70,8</w:t>
            </w:r>
          </w:p>
        </w:tc>
      </w:tr>
      <w:tr w:rsidR="009F10DE" w:rsidRPr="00E203A1" w:rsidTr="009F10DE">
        <w:trPr>
          <w:trHeight w:val="300"/>
        </w:trPr>
        <w:tc>
          <w:tcPr>
            <w:tcW w:w="1138" w:type="dxa"/>
            <w:vAlign w:val="bottom"/>
          </w:tcPr>
          <w:p w:rsidR="009F10DE" w:rsidRPr="00E203A1" w:rsidRDefault="009F10DE" w:rsidP="009F10DE">
            <w:pPr>
              <w:rPr>
                <w:rFonts w:ascii="Arial" w:hAnsi="Arial" w:cs="Arial"/>
                <w:color w:val="000000"/>
                <w:sz w:val="20"/>
                <w:szCs w:val="20"/>
              </w:rPr>
            </w:pPr>
            <w:r w:rsidRPr="00E203A1">
              <w:rPr>
                <w:rFonts w:ascii="Arial" w:hAnsi="Arial" w:cs="Arial"/>
                <w:color w:val="000000"/>
                <w:sz w:val="20"/>
                <w:szCs w:val="20"/>
              </w:rPr>
              <w:t>Các TT khác</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1.125,3</w:t>
            </w:r>
          </w:p>
        </w:tc>
        <w:tc>
          <w:tcPr>
            <w:tcW w:w="134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977,5</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906,2</w:t>
            </w:r>
          </w:p>
        </w:tc>
        <w:tc>
          <w:tcPr>
            <w:tcW w:w="122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923,9</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988,2</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912,0</w:t>
            </w:r>
          </w:p>
        </w:tc>
        <w:tc>
          <w:tcPr>
            <w:tcW w:w="960"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FF52D7" w:rsidRPr="00E203A1">
              <w:rPr>
                <w:rFonts w:ascii="Arial" w:eastAsia="Times New Roman" w:hAnsi="Arial" w:cs="Arial"/>
                <w:color w:val="000000"/>
                <w:sz w:val="20"/>
                <w:szCs w:val="20"/>
              </w:rPr>
              <w:t>.</w:t>
            </w:r>
            <w:r w:rsidRPr="00E203A1">
              <w:rPr>
                <w:rFonts w:ascii="Arial" w:eastAsia="Times New Roman" w:hAnsi="Arial" w:cs="Arial"/>
                <w:color w:val="000000"/>
                <w:sz w:val="20"/>
                <w:szCs w:val="20"/>
              </w:rPr>
              <w:t>060,7</w:t>
            </w:r>
          </w:p>
        </w:tc>
        <w:tc>
          <w:tcPr>
            <w:tcW w:w="1162" w:type="dxa"/>
            <w:noWrap/>
            <w:hideMark/>
          </w:tcPr>
          <w:p w:rsidR="009F10DE" w:rsidRPr="00E203A1" w:rsidRDefault="009F10DE" w:rsidP="009F10DE">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8,5</w:t>
            </w:r>
          </w:p>
        </w:tc>
      </w:tr>
      <w:tr w:rsidR="009F10DE" w:rsidRPr="00E203A1" w:rsidTr="009F10DE">
        <w:trPr>
          <w:trHeight w:val="300"/>
        </w:trPr>
        <w:tc>
          <w:tcPr>
            <w:tcW w:w="1138" w:type="dxa"/>
            <w:vAlign w:val="bottom"/>
          </w:tcPr>
          <w:p w:rsidR="009F10DE" w:rsidRPr="00E203A1" w:rsidRDefault="009F10DE" w:rsidP="009F10DE">
            <w:pPr>
              <w:rPr>
                <w:rFonts w:ascii="Arial" w:hAnsi="Arial" w:cs="Arial"/>
                <w:b/>
                <w:color w:val="000000"/>
                <w:sz w:val="20"/>
                <w:szCs w:val="20"/>
              </w:rPr>
            </w:pPr>
            <w:r w:rsidRPr="00E203A1">
              <w:rPr>
                <w:rFonts w:ascii="Arial" w:hAnsi="Arial" w:cs="Arial"/>
                <w:b/>
                <w:color w:val="000000"/>
                <w:sz w:val="20"/>
                <w:szCs w:val="20"/>
              </w:rPr>
              <w:t>Tổng</w:t>
            </w:r>
          </w:p>
        </w:tc>
        <w:tc>
          <w:tcPr>
            <w:tcW w:w="134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7.836,0</w:t>
            </w:r>
          </w:p>
        </w:tc>
        <w:tc>
          <w:tcPr>
            <w:tcW w:w="134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6.572,6</w:t>
            </w:r>
          </w:p>
        </w:tc>
        <w:tc>
          <w:tcPr>
            <w:tcW w:w="96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7</w:t>
            </w:r>
            <w:r w:rsidR="00FF52D7" w:rsidRPr="00E203A1">
              <w:rPr>
                <w:rFonts w:ascii="Arial" w:eastAsia="Times New Roman" w:hAnsi="Arial" w:cs="Arial"/>
                <w:b/>
                <w:color w:val="000000"/>
                <w:sz w:val="20"/>
                <w:szCs w:val="20"/>
              </w:rPr>
              <w:t>.</w:t>
            </w:r>
            <w:r w:rsidRPr="00E203A1">
              <w:rPr>
                <w:rFonts w:ascii="Arial" w:eastAsia="Times New Roman" w:hAnsi="Arial" w:cs="Arial"/>
                <w:b/>
                <w:color w:val="000000"/>
                <w:sz w:val="20"/>
                <w:szCs w:val="20"/>
              </w:rPr>
              <w:t>053,1</w:t>
            </w:r>
          </w:p>
        </w:tc>
        <w:tc>
          <w:tcPr>
            <w:tcW w:w="122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8315,7</w:t>
            </w:r>
          </w:p>
        </w:tc>
        <w:tc>
          <w:tcPr>
            <w:tcW w:w="96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w:t>
            </w:r>
            <w:r w:rsidR="00FF52D7" w:rsidRPr="00E203A1">
              <w:rPr>
                <w:rFonts w:ascii="Arial" w:eastAsia="Times New Roman" w:hAnsi="Arial" w:cs="Arial"/>
                <w:b/>
                <w:color w:val="000000"/>
                <w:sz w:val="20"/>
                <w:szCs w:val="20"/>
              </w:rPr>
              <w:t>.</w:t>
            </w:r>
            <w:r w:rsidRPr="00E203A1">
              <w:rPr>
                <w:rFonts w:ascii="Arial" w:eastAsia="Times New Roman" w:hAnsi="Arial" w:cs="Arial"/>
                <w:b/>
                <w:color w:val="000000"/>
                <w:sz w:val="20"/>
                <w:szCs w:val="20"/>
              </w:rPr>
              <w:t>801,9</w:t>
            </w:r>
          </w:p>
        </w:tc>
        <w:tc>
          <w:tcPr>
            <w:tcW w:w="96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w:t>
            </w:r>
            <w:r w:rsidR="00FF52D7" w:rsidRPr="00E203A1">
              <w:rPr>
                <w:rFonts w:ascii="Arial" w:eastAsia="Times New Roman" w:hAnsi="Arial" w:cs="Arial"/>
                <w:b/>
                <w:color w:val="000000"/>
                <w:sz w:val="20"/>
                <w:szCs w:val="20"/>
              </w:rPr>
              <w:t>.</w:t>
            </w:r>
            <w:r w:rsidRPr="00E203A1">
              <w:rPr>
                <w:rFonts w:ascii="Arial" w:eastAsia="Times New Roman" w:hAnsi="Arial" w:cs="Arial"/>
                <w:b/>
                <w:color w:val="000000"/>
                <w:sz w:val="20"/>
                <w:szCs w:val="20"/>
              </w:rPr>
              <w:t>578,5</w:t>
            </w:r>
          </w:p>
        </w:tc>
        <w:tc>
          <w:tcPr>
            <w:tcW w:w="960"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8</w:t>
            </w:r>
            <w:r w:rsidR="00FF52D7" w:rsidRPr="00E203A1">
              <w:rPr>
                <w:rFonts w:ascii="Arial" w:eastAsia="Times New Roman" w:hAnsi="Arial" w:cs="Arial"/>
                <w:b/>
                <w:color w:val="000000"/>
                <w:sz w:val="20"/>
                <w:szCs w:val="20"/>
              </w:rPr>
              <w:t>.</w:t>
            </w:r>
            <w:r w:rsidRPr="00E203A1">
              <w:rPr>
                <w:rFonts w:ascii="Arial" w:eastAsia="Times New Roman" w:hAnsi="Arial" w:cs="Arial"/>
                <w:b/>
                <w:color w:val="000000"/>
                <w:sz w:val="20"/>
                <w:szCs w:val="20"/>
              </w:rPr>
              <w:t>587,1</w:t>
            </w:r>
          </w:p>
        </w:tc>
        <w:tc>
          <w:tcPr>
            <w:tcW w:w="1162" w:type="dxa"/>
            <w:noWrap/>
            <w:hideMark/>
          </w:tcPr>
          <w:p w:rsidR="009F10DE" w:rsidRPr="00E203A1" w:rsidRDefault="009F10DE" w:rsidP="009F10D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30,6</w:t>
            </w:r>
          </w:p>
        </w:tc>
      </w:tr>
    </w:tbl>
    <w:p w:rsidR="00BA03F3" w:rsidRPr="00E203A1" w:rsidRDefault="00BA03F3" w:rsidP="00D6000E">
      <w:pPr>
        <w:jc w:val="both"/>
        <w:rPr>
          <w:rFonts w:ascii="Arial" w:hAnsi="Arial" w:cs="Arial"/>
          <w:b/>
          <w:color w:val="002060"/>
          <w:sz w:val="32"/>
          <w:szCs w:val="32"/>
        </w:rPr>
      </w:pPr>
    </w:p>
    <w:p w:rsidR="00531918" w:rsidRPr="00E203A1" w:rsidRDefault="00531918" w:rsidP="00D6000E">
      <w:pPr>
        <w:jc w:val="both"/>
        <w:rPr>
          <w:rFonts w:ascii="Arial" w:hAnsi="Arial" w:cs="Arial"/>
          <w:b/>
          <w:color w:val="002060"/>
          <w:sz w:val="22"/>
        </w:rPr>
      </w:pPr>
      <w:r w:rsidRPr="00E203A1">
        <w:rPr>
          <w:rFonts w:ascii="Arial" w:hAnsi="Arial" w:cs="Arial"/>
          <w:b/>
          <w:color w:val="002060"/>
          <w:sz w:val="22"/>
        </w:rPr>
        <w:t>3. Xuất khẩu thủy sản năm 2020</w:t>
      </w:r>
    </w:p>
    <w:p w:rsidR="00BC5F18" w:rsidRPr="00E203A1" w:rsidRDefault="00BC5F18" w:rsidP="00BC5F18">
      <w:pPr>
        <w:spacing w:before="120" w:line="340" w:lineRule="exact"/>
        <w:jc w:val="both"/>
        <w:rPr>
          <w:rFonts w:ascii="Arial" w:hAnsi="Arial" w:cs="Arial"/>
          <w:sz w:val="22"/>
        </w:rPr>
      </w:pPr>
      <w:r w:rsidRPr="00E203A1">
        <w:rPr>
          <w:rFonts w:ascii="Arial" w:hAnsi="Arial" w:cs="Arial"/>
          <w:sz w:val="22"/>
        </w:rPr>
        <w:lastRenderedPageBreak/>
        <w:t xml:space="preserve">Dịch bệnh Covid-19 căng thẳng trên thế giới, nhất là ở những thị trường NK trọng điểm của Việt Nam như EU, Mỹ, Trung Quốc, Hàn Quốc và Nhật Bản đã tác động rõ rệt đến thương mại thủy sản của Việt Nam với các nước. </w:t>
      </w:r>
    </w:p>
    <w:p w:rsidR="00BC5F18" w:rsidRPr="00E203A1" w:rsidRDefault="00BC5F18" w:rsidP="00BC5F18">
      <w:pPr>
        <w:spacing w:before="120" w:line="340" w:lineRule="exact"/>
        <w:jc w:val="both"/>
        <w:rPr>
          <w:rFonts w:ascii="Arial" w:hAnsi="Arial" w:cs="Arial"/>
          <w:sz w:val="22"/>
        </w:rPr>
      </w:pPr>
      <w:r w:rsidRPr="00E203A1">
        <w:rPr>
          <w:rFonts w:ascii="Arial" w:hAnsi="Arial" w:cs="Arial"/>
          <w:sz w:val="22"/>
        </w:rPr>
        <w:t xml:space="preserve">Xuất khẩu thủy sản của Việt Nam trong quý I và quý II năm nay giảm lần lượt 10% và 7% so với cùng kỳ năm 2019. Trong đó, XK giảm sâu nhất vào tháng 3, tháng 5 (giảm lần lượt 48% và 16% so với cùng kỳ năm 2019). Đó là những tháng cao điểm dịch bệnh Covid tại châu Âu và Mỹ. </w:t>
      </w:r>
    </w:p>
    <w:p w:rsidR="00BC5F18" w:rsidRPr="00E203A1" w:rsidRDefault="00BC5F18" w:rsidP="00BC5F18">
      <w:pPr>
        <w:spacing w:before="120" w:line="340" w:lineRule="exact"/>
        <w:jc w:val="both"/>
        <w:rPr>
          <w:rFonts w:ascii="Arial" w:hAnsi="Arial" w:cs="Arial"/>
          <w:sz w:val="22"/>
        </w:rPr>
      </w:pPr>
      <w:r w:rsidRPr="00E203A1">
        <w:rPr>
          <w:rFonts w:ascii="Arial" w:hAnsi="Arial" w:cs="Arial"/>
          <w:sz w:val="22"/>
        </w:rPr>
        <w:t xml:space="preserve">Tuy nhiên, từ tháng 7, XK bắt đầu hồi phục và tăng trong 3 tháng gần đây (với mức tăng trưởng 10% đến 13%), điều đó cho thấy các công ty thủy sản ở Việt Nam đang thích ứng, vượt qua thách thức và nắm bắt được các cơ hội trong bối cảnh dịch bệnh Covid vẫn đang bùng phát trên thế giới.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thủy sản hồi phục, nhờ XK tôm duy trì tăng ổn định và các sản phẩm hải sản cũng có tín hiệu khả quan từ tháng 8. Nhờ sự hồi phục trong 3 tháng gần đây, XK thủy sản đến cuối tháng 11 chạm mức tương đương cùng kỳ năm 2019 là  trên 7,8 tỷ USD.  </w:t>
      </w:r>
      <w:r w:rsidR="00FF52D7" w:rsidRPr="00E203A1">
        <w:rPr>
          <w:rFonts w:ascii="Arial" w:hAnsi="Arial" w:cs="Arial"/>
          <w:sz w:val="22"/>
        </w:rPr>
        <w:t>Ước tính</w:t>
      </w:r>
      <w:r w:rsidRPr="00E203A1">
        <w:rPr>
          <w:rFonts w:ascii="Arial" w:hAnsi="Arial" w:cs="Arial"/>
          <w:sz w:val="22"/>
        </w:rPr>
        <w:t xml:space="preserve"> XK thủy sản cả năm 2020 sẽ đạt tương đương năm 2019 với </w:t>
      </w:r>
      <w:r w:rsidRPr="00E203A1">
        <w:rPr>
          <w:rFonts w:ascii="Arial" w:hAnsi="Arial" w:cs="Arial"/>
          <w:b/>
          <w:sz w:val="22"/>
        </w:rPr>
        <w:t>8,58 tỷ USD.</w:t>
      </w:r>
      <w:r w:rsidRPr="00E203A1">
        <w:rPr>
          <w:rFonts w:ascii="Arial" w:hAnsi="Arial" w:cs="Arial"/>
          <w:sz w:val="22"/>
        </w:rPr>
        <w:t xml:space="preserve"> </w:t>
      </w:r>
    </w:p>
    <w:p w:rsidR="00531918" w:rsidRPr="00E203A1" w:rsidRDefault="00BC5F18" w:rsidP="00531918">
      <w:pPr>
        <w:spacing w:before="120" w:after="120" w:line="340" w:lineRule="exact"/>
        <w:jc w:val="both"/>
        <w:rPr>
          <w:rFonts w:ascii="Arial" w:hAnsi="Arial" w:cs="Arial"/>
          <w:b/>
          <w:sz w:val="22"/>
        </w:rPr>
      </w:pPr>
      <w:r w:rsidRPr="00E203A1">
        <w:rPr>
          <w:rFonts w:ascii="Arial" w:hAnsi="Arial" w:cs="Arial"/>
          <w:b/>
          <w:sz w:val="22"/>
        </w:rPr>
        <w:t xml:space="preserve">3.1. </w:t>
      </w:r>
      <w:r w:rsidR="00531918" w:rsidRPr="00E203A1">
        <w:rPr>
          <w:rFonts w:ascii="Arial" w:hAnsi="Arial" w:cs="Arial"/>
          <w:b/>
          <w:sz w:val="22"/>
        </w:rPr>
        <w:t xml:space="preserve">Sản phẩm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tôm tăng trưởng 2 con số từ tháng 6 và tăng mạnh 25% trong tháng 9 và tháng 10, sang tháng 11 tiếp tục tăng 28%. Tính đến hết tháng 11/2020, XK tôm đạt khoảng 3,5 tỷ USD, tăng gần 14% so với cùng kỳ năm 2019. Với mức duy trì tốt như hiện nay, XK tôm năm 2020 dự kiến đạt trên </w:t>
      </w:r>
      <w:r w:rsidRPr="00E203A1">
        <w:rPr>
          <w:rFonts w:ascii="Arial" w:hAnsi="Arial" w:cs="Arial"/>
          <w:b/>
          <w:sz w:val="22"/>
        </w:rPr>
        <w:t>3,85 tỷ USD, tăng 15%</w:t>
      </w:r>
      <w:r w:rsidRPr="00E203A1">
        <w:rPr>
          <w:rFonts w:ascii="Arial" w:hAnsi="Arial" w:cs="Arial"/>
          <w:sz w:val="22"/>
        </w:rPr>
        <w:t xml:space="preserve"> so với năm 2019. Do dịch Covid vẫn căng thẳng trên thế giới nên xu hướng tiêu thụ tại các thị trường vẫn tập trung vào tôm chân trắng, size cỡ nhỏ cho phân khúc bán lẻ. Do vậy, XK tôm chân trắng chiếm 72% giá trị XK tôm trong năm nay, ước đạt gần 3 tỷ USD trong năm 2020, trong khi tôm sú chỉ đạt 616 triệu USD, chiếm 16% và tôm biển chiếm 12% đạt 462 triệu USD.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cá tra giảm sâu từ tháng 3 đến tháng 9 với mức giảm từ 17 – 35% so với cùng kỳ năm 2019. Từ tháng 10, giá cá tra XK khả quan hơn, kim ngạch XK tăng mạnh so với những tháng trước, và so với cùng kỳ mức sụt giảm chỉ còn 5%, sang tháng 11 giảm nhẹ 4%. Lũy kế đến cuối tháng 11/2020, XK cá tra đạt 1,34 tỷ USD, giảm 24%. Ước tính XK cá tra cả năm sẽ đạt khoảng </w:t>
      </w:r>
      <w:r w:rsidRPr="00E203A1">
        <w:rPr>
          <w:rFonts w:ascii="Arial" w:hAnsi="Arial" w:cs="Arial"/>
          <w:b/>
          <w:sz w:val="22"/>
        </w:rPr>
        <w:t>1,54 tỷ USD, giảm 23%</w:t>
      </w:r>
      <w:r w:rsidRPr="00E203A1">
        <w:rPr>
          <w:rFonts w:ascii="Arial" w:hAnsi="Arial" w:cs="Arial"/>
          <w:sz w:val="22"/>
        </w:rPr>
        <w:t xml:space="preserve"> so với năm 2019.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hải sản giảm sâu trong tháng 3 và tháng 5 (giảm lần lượt 47% và 20%), sau đó hồi phục dần, bắt đầu có tăng trưởng dương từ tháng 8. Sau khi tăng mạnh 15% trong tháng 9, XK tăng 2% trong tháng 10 và tiếp tục tăng 8% trong tháng 11. Tính đến hết tháng 11, tổng XK hải sản của Việt Nam đạt trên 2,9 tỷ USD, giảm nhẹ 1,2% so với cùng kỳ năm 2019. Ước tính XK hải sản cả năm 2020 đạt gần </w:t>
      </w:r>
      <w:r w:rsidRPr="00E203A1">
        <w:rPr>
          <w:rFonts w:ascii="Arial" w:hAnsi="Arial" w:cs="Arial"/>
          <w:b/>
          <w:sz w:val="22"/>
        </w:rPr>
        <w:t>3,2 tỷ USD,</w:t>
      </w:r>
      <w:r w:rsidRPr="00E203A1">
        <w:rPr>
          <w:rFonts w:ascii="Arial" w:hAnsi="Arial" w:cs="Arial"/>
          <w:sz w:val="22"/>
        </w:rPr>
        <w:t xml:space="preserve"> gần tương đương với năm 2019. </w:t>
      </w:r>
    </w:p>
    <w:p w:rsidR="00531918" w:rsidRPr="00E203A1" w:rsidRDefault="00531918" w:rsidP="00531918">
      <w:pPr>
        <w:spacing w:before="120" w:after="120" w:line="340" w:lineRule="exact"/>
        <w:jc w:val="both"/>
        <w:rPr>
          <w:rFonts w:ascii="Arial" w:hAnsi="Arial" w:cs="Arial"/>
          <w:b/>
          <w:sz w:val="22"/>
        </w:rPr>
      </w:pPr>
      <w:r w:rsidRPr="00E203A1">
        <w:rPr>
          <w:rFonts w:ascii="Arial" w:hAnsi="Arial" w:cs="Arial"/>
          <w:sz w:val="22"/>
        </w:rPr>
        <w:t>Trong các mặt hàng hải sản XK, cá ngừ và mực, bạch tuộc đều có tín hiệu tốt từ tháng 9. Trong đó cá ngừ tăng trưởng 5-15% trong 3 tháng qua sau khi sụt giảm liên tục ở mức 23-32% trong 5 tháng trướ</w:t>
      </w:r>
      <w:r w:rsidR="00BC5F18" w:rsidRPr="00E203A1">
        <w:rPr>
          <w:rFonts w:ascii="Arial" w:hAnsi="Arial" w:cs="Arial"/>
          <w:sz w:val="22"/>
        </w:rPr>
        <w:t>c đó</w:t>
      </w:r>
      <w:r w:rsidRPr="00E203A1">
        <w:rPr>
          <w:rFonts w:ascii="Arial" w:hAnsi="Arial" w:cs="Arial"/>
          <w:sz w:val="22"/>
        </w:rPr>
        <w:t xml:space="preserve">, đưa kết quả 11 tháng lên 605 triệu USD, giảm 9% so với cùng kỳ. Ước tính XK cá ngừ cả năm 2020 sẽ đạt khoảng </w:t>
      </w:r>
      <w:r w:rsidRPr="00E203A1">
        <w:rPr>
          <w:rFonts w:ascii="Arial" w:hAnsi="Arial" w:cs="Arial"/>
          <w:b/>
          <w:sz w:val="22"/>
        </w:rPr>
        <w:t xml:space="preserve">720 triệu USD, giảm gần 8%.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mực, bạch tuộc tăng 9-22% trong 4 tháng qua, đưa kết quả XK 11 tháng lên 510 triệu USD, giảm 3,5% so với cùng kỳ. Ước XK cá ngừ năm 2020 sẽ đạt khoảng </w:t>
      </w:r>
      <w:r w:rsidRPr="00E203A1">
        <w:rPr>
          <w:rFonts w:ascii="Arial" w:hAnsi="Arial" w:cs="Arial"/>
          <w:b/>
          <w:sz w:val="22"/>
        </w:rPr>
        <w:t>565 triệu USD, giảm 2%</w:t>
      </w:r>
      <w:r w:rsidRPr="00E203A1">
        <w:rPr>
          <w:rFonts w:ascii="Arial" w:hAnsi="Arial" w:cs="Arial"/>
          <w:sz w:val="22"/>
        </w:rPr>
        <w:t xml:space="preserve"> so với năm 2019.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lastRenderedPageBreak/>
        <w:t xml:space="preserve">XK các loại cá biển khác trừ cá ngừ </w:t>
      </w:r>
      <w:r w:rsidR="00BC5F18" w:rsidRPr="00E203A1">
        <w:rPr>
          <w:rFonts w:ascii="Arial" w:hAnsi="Arial" w:cs="Arial"/>
          <w:sz w:val="22"/>
        </w:rPr>
        <w:t>trong 1</w:t>
      </w:r>
      <w:r w:rsidRPr="00E203A1">
        <w:rPr>
          <w:rFonts w:ascii="Arial" w:hAnsi="Arial" w:cs="Arial"/>
          <w:sz w:val="22"/>
        </w:rPr>
        <w:t xml:space="preserve">1 tháng </w:t>
      </w:r>
      <w:r w:rsidR="00BC5F18" w:rsidRPr="00E203A1">
        <w:rPr>
          <w:rFonts w:ascii="Arial" w:hAnsi="Arial" w:cs="Arial"/>
          <w:sz w:val="22"/>
        </w:rPr>
        <w:t>đạt</w:t>
      </w:r>
      <w:r w:rsidRPr="00E203A1">
        <w:rPr>
          <w:rFonts w:ascii="Arial" w:hAnsi="Arial" w:cs="Arial"/>
          <w:sz w:val="22"/>
        </w:rPr>
        <w:t xml:space="preserve"> 1,53 tỷ USD, tăng 1% so với cùng kỳ năm 2019. Ước tính XK các loại cá biển </w:t>
      </w:r>
      <w:r w:rsidR="00BC5F18" w:rsidRPr="00E203A1">
        <w:rPr>
          <w:rFonts w:ascii="Arial" w:hAnsi="Arial" w:cs="Arial"/>
          <w:sz w:val="22"/>
        </w:rPr>
        <w:t xml:space="preserve">(bao gồm cả sản phẩm surimi) </w:t>
      </w:r>
      <w:r w:rsidRPr="00E203A1">
        <w:rPr>
          <w:rFonts w:ascii="Arial" w:hAnsi="Arial" w:cs="Arial"/>
          <w:sz w:val="22"/>
        </w:rPr>
        <w:t xml:space="preserve">cả năm 2020 đạt khoảng </w:t>
      </w:r>
      <w:r w:rsidRPr="00E203A1">
        <w:rPr>
          <w:rFonts w:ascii="Arial" w:hAnsi="Arial" w:cs="Arial"/>
          <w:b/>
          <w:sz w:val="22"/>
        </w:rPr>
        <w:t>1,68 tỷ USD, tăng 1%</w:t>
      </w:r>
      <w:r w:rsidRPr="00E203A1">
        <w:rPr>
          <w:rFonts w:ascii="Arial" w:hAnsi="Arial" w:cs="Arial"/>
          <w:sz w:val="22"/>
        </w:rPr>
        <w:t xml:space="preserve"> so với năm 2019. </w:t>
      </w:r>
    </w:p>
    <w:p w:rsidR="00531918" w:rsidRPr="00E203A1" w:rsidRDefault="00BC5F18" w:rsidP="00531918">
      <w:pPr>
        <w:spacing w:before="120" w:after="120" w:line="340" w:lineRule="exact"/>
        <w:jc w:val="both"/>
        <w:rPr>
          <w:rFonts w:ascii="Arial" w:hAnsi="Arial" w:cs="Arial"/>
          <w:b/>
          <w:sz w:val="22"/>
        </w:rPr>
      </w:pPr>
      <w:r w:rsidRPr="00E203A1">
        <w:rPr>
          <w:rFonts w:ascii="Arial" w:hAnsi="Arial" w:cs="Arial"/>
          <w:b/>
          <w:sz w:val="22"/>
        </w:rPr>
        <w:t xml:space="preserve">3.2. </w:t>
      </w:r>
      <w:r w:rsidR="00531918" w:rsidRPr="00E203A1">
        <w:rPr>
          <w:rFonts w:ascii="Arial" w:hAnsi="Arial" w:cs="Arial"/>
          <w:b/>
          <w:sz w:val="22"/>
        </w:rPr>
        <w:t>Thị trường</w:t>
      </w:r>
    </w:p>
    <w:p w:rsidR="00BC5F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Trong top 6 thị trường chính, trong </w:t>
      </w:r>
      <w:r w:rsidR="00BC5F18" w:rsidRPr="00E203A1">
        <w:rPr>
          <w:rFonts w:ascii="Arial" w:hAnsi="Arial" w:cs="Arial"/>
          <w:sz w:val="22"/>
        </w:rPr>
        <w:t>năm 2020 chỉ có 3 thị trường Mỹ và Trung Quốc còn duy trì được tăng trưởng dương so với năm 2019</w:t>
      </w:r>
      <w:r w:rsidRPr="00E203A1">
        <w:rPr>
          <w:rFonts w:ascii="Arial" w:hAnsi="Arial" w:cs="Arial"/>
          <w:sz w:val="22"/>
        </w:rPr>
        <w:t xml:space="preserve">, tăng lần lượt là </w:t>
      </w:r>
      <w:r w:rsidR="00BC5F18" w:rsidRPr="00E203A1">
        <w:rPr>
          <w:rFonts w:ascii="Arial" w:hAnsi="Arial" w:cs="Arial"/>
          <w:sz w:val="22"/>
        </w:rPr>
        <w:t>1</w:t>
      </w:r>
      <w:r w:rsidRPr="00E203A1">
        <w:rPr>
          <w:rFonts w:ascii="Arial" w:hAnsi="Arial" w:cs="Arial"/>
          <w:sz w:val="22"/>
        </w:rPr>
        <w:t xml:space="preserve">3% và 5%. </w:t>
      </w:r>
      <w:r w:rsidR="00BC5F18" w:rsidRPr="00E203A1">
        <w:rPr>
          <w:rFonts w:ascii="Arial" w:hAnsi="Arial" w:cs="Arial"/>
          <w:sz w:val="22"/>
        </w:rPr>
        <w:t xml:space="preserve">XK sang các thị trường khác đều sụt giảm so với năm 2019 do tác động của Covid làm ảnh hưởng đến nhu cầu thủy sản và hoạt động giao dịch với các thị trường này.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Trong đó, XK sang Mỹ từ tháng 6 tăng mạnh với mức tăng cao hơn qua các tháng. Lũy kế hết tháng 11, XK thủy sản sang thị trường này đạt trên 1,5 tỷ USD, tăng 11% so với cùng kỳ năm 2019. Ước tính cả năm XK thủy sản sang Mỹ đạt </w:t>
      </w:r>
      <w:r w:rsidRPr="00E203A1">
        <w:rPr>
          <w:rFonts w:ascii="Arial" w:hAnsi="Arial" w:cs="Arial"/>
          <w:b/>
          <w:sz w:val="22"/>
        </w:rPr>
        <w:t>1,6</w:t>
      </w:r>
      <w:r w:rsidR="00BC5F18" w:rsidRPr="00E203A1">
        <w:rPr>
          <w:rFonts w:ascii="Arial" w:hAnsi="Arial" w:cs="Arial"/>
          <w:b/>
          <w:sz w:val="22"/>
        </w:rPr>
        <w:t>6</w:t>
      </w:r>
      <w:r w:rsidRPr="00E203A1">
        <w:rPr>
          <w:rFonts w:ascii="Arial" w:hAnsi="Arial" w:cs="Arial"/>
          <w:b/>
          <w:sz w:val="22"/>
        </w:rPr>
        <w:t xml:space="preserve"> tỷ USD, tăng 1</w:t>
      </w:r>
      <w:r w:rsidR="00BC5F18" w:rsidRPr="00E203A1">
        <w:rPr>
          <w:rFonts w:ascii="Arial" w:hAnsi="Arial" w:cs="Arial"/>
          <w:b/>
          <w:sz w:val="22"/>
        </w:rPr>
        <w:t>3</w:t>
      </w:r>
      <w:r w:rsidRPr="00E203A1">
        <w:rPr>
          <w:rFonts w:ascii="Arial" w:hAnsi="Arial" w:cs="Arial"/>
          <w:b/>
          <w:sz w:val="22"/>
        </w:rPr>
        <w:t>%</w:t>
      </w:r>
      <w:r w:rsidRPr="00E203A1">
        <w:rPr>
          <w:rFonts w:ascii="Arial" w:hAnsi="Arial" w:cs="Arial"/>
          <w:sz w:val="22"/>
        </w:rPr>
        <w:t xml:space="preserve"> so với năm 2019.</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Thị trường EU hồi phục mạnh từ tháng 9 với mức tăng 19-30%. Lũy kế 11 tháng, XK sang EU đạt 900 triệu USD, giảm 3,8%. Ước tính XK sang EU (trừ Anh) trong năm 2020 đạt khoảng </w:t>
      </w:r>
      <w:r w:rsidRPr="00E203A1">
        <w:rPr>
          <w:rFonts w:ascii="Arial" w:hAnsi="Arial" w:cs="Arial"/>
          <w:b/>
          <w:sz w:val="22"/>
        </w:rPr>
        <w:t>99</w:t>
      </w:r>
      <w:r w:rsidR="00BC5F18" w:rsidRPr="00E203A1">
        <w:rPr>
          <w:rFonts w:ascii="Arial" w:hAnsi="Arial" w:cs="Arial"/>
          <w:b/>
          <w:sz w:val="22"/>
        </w:rPr>
        <w:t>1</w:t>
      </w:r>
      <w:r w:rsidRPr="00E203A1">
        <w:rPr>
          <w:rFonts w:ascii="Arial" w:hAnsi="Arial" w:cs="Arial"/>
          <w:b/>
          <w:sz w:val="22"/>
        </w:rPr>
        <w:t xml:space="preserve"> triệu USD, giảm 2,</w:t>
      </w:r>
      <w:r w:rsidR="00BC5F18" w:rsidRPr="00E203A1">
        <w:rPr>
          <w:rFonts w:ascii="Arial" w:hAnsi="Arial" w:cs="Arial"/>
          <w:b/>
          <w:sz w:val="22"/>
        </w:rPr>
        <w:t>5</w:t>
      </w:r>
      <w:r w:rsidRPr="00E203A1">
        <w:rPr>
          <w:rFonts w:ascii="Arial" w:hAnsi="Arial" w:cs="Arial"/>
          <w:b/>
          <w:sz w:val="22"/>
        </w:rPr>
        <w:t>%</w:t>
      </w:r>
      <w:r w:rsidRPr="00E203A1">
        <w:rPr>
          <w:rFonts w:ascii="Arial" w:hAnsi="Arial" w:cs="Arial"/>
          <w:sz w:val="22"/>
        </w:rPr>
        <w:t xml:space="preserve"> so với năm 2019.</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thủy sản sang Trung Quốc tháng 11 tăng 19% sau khi tăng 27% và 16% trong tháng 9 và tháng 10. Lũy kế XK sang Trung Quốc 11 tháng năm 2020 đạt </w:t>
      </w:r>
      <w:r w:rsidRPr="00E203A1">
        <w:rPr>
          <w:rFonts w:ascii="Arial" w:hAnsi="Arial" w:cs="Arial"/>
          <w:b/>
          <w:sz w:val="22"/>
        </w:rPr>
        <w:t>1,3 tỷ USD, tăng 3,4%</w:t>
      </w:r>
      <w:r w:rsidRPr="00E203A1">
        <w:rPr>
          <w:rFonts w:ascii="Arial" w:hAnsi="Arial" w:cs="Arial"/>
          <w:sz w:val="22"/>
        </w:rPr>
        <w:t xml:space="preserve"> và cả năm 2020 ước đạt 1,48 tỷ USD, tăng gần 5%. Thị trường này đang có động thái kiểm soát chặt NK thủy hải sản do lo sợ lây nhiễm Covid, do vậy, mức tăng XK sang Trung Quốc dự báo thấp hơn trong những tháng tới.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 xml:space="preserve">XK thủy sản sang Nhật Bản sụt giảm từ tháng 5 cho đến nay, mặc dù mức sụt giảm đang thấp dần, nhưng cũng khiến kết quả 11 tháng bị giảm 4,3% đạt gần 1,3 tỷ USD. Ước tính XK sang Nhật cả năm 2020 đạt </w:t>
      </w:r>
      <w:r w:rsidRPr="00E203A1">
        <w:rPr>
          <w:rFonts w:ascii="Arial" w:hAnsi="Arial" w:cs="Arial"/>
          <w:b/>
          <w:sz w:val="22"/>
        </w:rPr>
        <w:t>1,4 tỷ USD, giảm 3%.</w:t>
      </w:r>
      <w:r w:rsidRPr="00E203A1">
        <w:rPr>
          <w:rFonts w:ascii="Arial" w:hAnsi="Arial" w:cs="Arial"/>
          <w:sz w:val="22"/>
        </w:rPr>
        <w:t xml:space="preserve"> </w:t>
      </w:r>
    </w:p>
    <w:p w:rsidR="00531918" w:rsidRPr="00E203A1" w:rsidRDefault="00531918" w:rsidP="00531918">
      <w:pPr>
        <w:spacing w:before="120" w:after="120" w:line="340" w:lineRule="exact"/>
        <w:jc w:val="both"/>
        <w:rPr>
          <w:rFonts w:ascii="Arial" w:hAnsi="Arial" w:cs="Arial"/>
          <w:sz w:val="22"/>
        </w:rPr>
      </w:pPr>
      <w:r w:rsidRPr="00E203A1">
        <w:rPr>
          <w:rFonts w:ascii="Arial" w:hAnsi="Arial" w:cs="Arial"/>
          <w:sz w:val="22"/>
        </w:rPr>
        <w:t>XK sang Hàn Quốc tính đến hết tháng 11 đạt 700 triệu USD, giảm gần 2%.</w:t>
      </w:r>
      <w:r w:rsidRPr="00E203A1">
        <w:rPr>
          <w:rFonts w:ascii="Arial" w:hAnsi="Arial" w:cs="Arial"/>
          <w:b/>
          <w:sz w:val="22"/>
        </w:rPr>
        <w:t xml:space="preserve"> </w:t>
      </w:r>
      <w:r w:rsidRPr="00E203A1">
        <w:rPr>
          <w:rFonts w:ascii="Arial" w:hAnsi="Arial" w:cs="Arial"/>
          <w:sz w:val="22"/>
        </w:rPr>
        <w:t xml:space="preserve">Cả năm 2020, XK thủy sản sang thị trường này ước đạt </w:t>
      </w:r>
      <w:r w:rsidRPr="00E203A1">
        <w:rPr>
          <w:rFonts w:ascii="Arial" w:hAnsi="Arial" w:cs="Arial"/>
          <w:b/>
          <w:sz w:val="22"/>
        </w:rPr>
        <w:t>770 triệu USD, giảm 1,6%.</w:t>
      </w:r>
      <w:r w:rsidRPr="00E203A1">
        <w:rPr>
          <w:rFonts w:ascii="Arial" w:hAnsi="Arial" w:cs="Arial"/>
          <w:sz w:val="22"/>
        </w:rPr>
        <w:t xml:space="preserve"> Trong khi đó, XK sang ASEAN liên tục giảm sâu 2 con số trong những tháng qua, đạt 519 triệu USD</w:t>
      </w:r>
      <w:r w:rsidRPr="00E203A1">
        <w:rPr>
          <w:rFonts w:ascii="Arial" w:hAnsi="Arial" w:cs="Arial"/>
          <w:b/>
          <w:sz w:val="22"/>
        </w:rPr>
        <w:t xml:space="preserve"> </w:t>
      </w:r>
      <w:r w:rsidRPr="00E203A1">
        <w:rPr>
          <w:rFonts w:ascii="Arial" w:hAnsi="Arial" w:cs="Arial"/>
          <w:sz w:val="22"/>
        </w:rPr>
        <w:t xml:space="preserve">tính đến hết tháng 11/2020, giảm 18%, ước tính cả năm đạt </w:t>
      </w:r>
      <w:r w:rsidRPr="00E203A1">
        <w:rPr>
          <w:rFonts w:ascii="Arial" w:hAnsi="Arial" w:cs="Arial"/>
          <w:b/>
          <w:sz w:val="22"/>
        </w:rPr>
        <w:t>569 triệu USD, giảm 18%.</w:t>
      </w:r>
      <w:r w:rsidRPr="00E203A1">
        <w:rPr>
          <w:rFonts w:ascii="Arial" w:hAnsi="Arial" w:cs="Arial"/>
          <w:sz w:val="22"/>
        </w:rPr>
        <w:t xml:space="preserve"> </w:t>
      </w:r>
    </w:p>
    <w:tbl>
      <w:tblPr>
        <w:tblStyle w:val="TableGrid"/>
        <w:tblW w:w="5000" w:type="pct"/>
        <w:tblLook w:val="04A0" w:firstRow="1" w:lastRow="0" w:firstColumn="1" w:lastColumn="0" w:noHBand="0" w:noVBand="1"/>
      </w:tblPr>
      <w:tblGrid>
        <w:gridCol w:w="3508"/>
        <w:gridCol w:w="2602"/>
        <w:gridCol w:w="4141"/>
      </w:tblGrid>
      <w:tr w:rsidR="00985831" w:rsidRPr="00E203A1" w:rsidTr="00B4147B">
        <w:trPr>
          <w:trHeight w:val="315"/>
        </w:trPr>
        <w:tc>
          <w:tcPr>
            <w:tcW w:w="5000" w:type="pct"/>
            <w:gridSpan w:val="3"/>
            <w:shd w:val="clear" w:color="auto" w:fill="D9E2F3" w:themeFill="accent5" w:themeFillTint="33"/>
            <w:noWrap/>
          </w:tcPr>
          <w:p w:rsidR="00985831" w:rsidRPr="00E203A1" w:rsidRDefault="00985831" w:rsidP="005D08F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 xml:space="preserve">XK thủy sản năm 2020, theo loài (triệu USD) </w:t>
            </w:r>
          </w:p>
        </w:tc>
      </w:tr>
      <w:tr w:rsidR="00985831" w:rsidRPr="00E203A1" w:rsidTr="00B4147B">
        <w:trPr>
          <w:trHeight w:val="315"/>
        </w:trPr>
        <w:tc>
          <w:tcPr>
            <w:tcW w:w="1711" w:type="pct"/>
            <w:shd w:val="clear" w:color="auto" w:fill="D9E2F3" w:themeFill="accent5" w:themeFillTint="33"/>
            <w:noWrap/>
            <w:hideMark/>
          </w:tcPr>
          <w:p w:rsidR="00985831" w:rsidRPr="00E203A1" w:rsidRDefault="00985831" w:rsidP="005D08FE">
            <w:pPr>
              <w:rPr>
                <w:rFonts w:ascii="Arial" w:eastAsia="Times New Roman" w:hAnsi="Arial" w:cs="Arial"/>
                <w:b/>
                <w:sz w:val="20"/>
                <w:szCs w:val="20"/>
              </w:rPr>
            </w:pPr>
            <w:r w:rsidRPr="00E203A1">
              <w:rPr>
                <w:rFonts w:ascii="Arial" w:eastAsia="Times New Roman" w:hAnsi="Arial" w:cs="Arial"/>
                <w:b/>
                <w:sz w:val="20"/>
                <w:szCs w:val="20"/>
              </w:rPr>
              <w:t xml:space="preserve">Sản phẩm </w:t>
            </w:r>
          </w:p>
        </w:tc>
        <w:tc>
          <w:tcPr>
            <w:tcW w:w="1269" w:type="pct"/>
            <w:shd w:val="clear" w:color="auto" w:fill="D9E2F3" w:themeFill="accent5" w:themeFillTint="33"/>
            <w:hideMark/>
          </w:tcPr>
          <w:p w:rsidR="00985831" w:rsidRPr="00E203A1" w:rsidRDefault="00985831" w:rsidP="005D08F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2020 (ước)</w:t>
            </w:r>
          </w:p>
        </w:tc>
        <w:tc>
          <w:tcPr>
            <w:tcW w:w="2020" w:type="pct"/>
            <w:shd w:val="clear" w:color="auto" w:fill="D9E2F3" w:themeFill="accent5" w:themeFillTint="33"/>
          </w:tcPr>
          <w:p w:rsidR="00985831" w:rsidRPr="00E203A1" w:rsidRDefault="00985831" w:rsidP="00985831">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 xml:space="preserve">Tăng trưởng so với 2019 (%) </w:t>
            </w:r>
          </w:p>
        </w:tc>
      </w:tr>
      <w:tr w:rsidR="00985831" w:rsidRPr="00E203A1" w:rsidTr="00FF52D7">
        <w:trPr>
          <w:trHeight w:val="315"/>
        </w:trPr>
        <w:tc>
          <w:tcPr>
            <w:tcW w:w="1711" w:type="pct"/>
            <w:noWrap/>
            <w:hideMark/>
          </w:tcPr>
          <w:p w:rsidR="00985831" w:rsidRPr="00E203A1" w:rsidRDefault="00985831" w:rsidP="005D08FE">
            <w:pPr>
              <w:rPr>
                <w:rFonts w:ascii="Arial" w:eastAsia="Times New Roman" w:hAnsi="Arial" w:cs="Arial"/>
                <w:b/>
                <w:color w:val="000000"/>
                <w:sz w:val="20"/>
                <w:szCs w:val="20"/>
              </w:rPr>
            </w:pPr>
            <w:r w:rsidRPr="00E203A1">
              <w:rPr>
                <w:rFonts w:ascii="Arial" w:eastAsia="Times New Roman" w:hAnsi="Arial" w:cs="Arial"/>
                <w:b/>
                <w:color w:val="000000"/>
                <w:sz w:val="20"/>
                <w:szCs w:val="20"/>
              </w:rPr>
              <w:t xml:space="preserve">Tôm </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3.850,5</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14,5</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Cá tra</w:t>
            </w:r>
          </w:p>
        </w:tc>
        <w:tc>
          <w:tcPr>
            <w:tcW w:w="1269" w:type="pct"/>
            <w:noWrap/>
            <w:hideMark/>
          </w:tcPr>
          <w:p w:rsidR="00985831" w:rsidRPr="00E203A1" w:rsidRDefault="00985831" w:rsidP="00E203A1">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sidR="00E203A1">
              <w:rPr>
                <w:rFonts w:ascii="Arial" w:eastAsia="Times New Roman" w:hAnsi="Arial" w:cs="Arial"/>
                <w:color w:val="000000"/>
                <w:sz w:val="20"/>
                <w:szCs w:val="20"/>
              </w:rPr>
              <w:t>.</w:t>
            </w:r>
            <w:r w:rsidRPr="00E203A1">
              <w:rPr>
                <w:rFonts w:ascii="Arial" w:eastAsia="Times New Roman" w:hAnsi="Arial" w:cs="Arial"/>
                <w:color w:val="000000"/>
                <w:sz w:val="20"/>
                <w:szCs w:val="20"/>
              </w:rPr>
              <w:t>543,6</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-23,0</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Cá ngừ</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661,9</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-8,0</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Mực, BT</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565,1</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-2,0</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NTHMV</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97,4</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4,0</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Cua, ghẹ</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174,5</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30,0</w:t>
            </w:r>
          </w:p>
        </w:tc>
      </w:tr>
      <w:tr w:rsidR="00985831" w:rsidRPr="00E203A1" w:rsidTr="00FF52D7">
        <w:trPr>
          <w:trHeight w:val="330"/>
        </w:trPr>
        <w:tc>
          <w:tcPr>
            <w:tcW w:w="1711" w:type="pct"/>
            <w:noWrap/>
            <w:hideMark/>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 xml:space="preserve">Surimi </w:t>
            </w:r>
          </w:p>
        </w:tc>
        <w:tc>
          <w:tcPr>
            <w:tcW w:w="1269" w:type="pct"/>
            <w:noWrap/>
            <w:hideMark/>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322,6</w:t>
            </w:r>
          </w:p>
        </w:tc>
        <w:tc>
          <w:tcPr>
            <w:tcW w:w="2020" w:type="pct"/>
            <w:vAlign w:val="bottom"/>
          </w:tcPr>
          <w:p w:rsidR="00985831" w:rsidRPr="00E203A1" w:rsidRDefault="00985831" w:rsidP="005D08FE">
            <w:pPr>
              <w:jc w:val="right"/>
              <w:rPr>
                <w:rFonts w:ascii="Arial" w:hAnsi="Arial" w:cs="Arial"/>
                <w:color w:val="000000"/>
                <w:sz w:val="20"/>
                <w:szCs w:val="20"/>
              </w:rPr>
            </w:pPr>
            <w:r w:rsidRPr="00E203A1">
              <w:rPr>
                <w:rFonts w:ascii="Arial" w:eastAsia="Times New Roman" w:hAnsi="Arial" w:cs="Arial"/>
                <w:color w:val="000000"/>
                <w:sz w:val="20"/>
                <w:szCs w:val="20"/>
              </w:rPr>
              <w:t>-5,8</w:t>
            </w:r>
          </w:p>
        </w:tc>
      </w:tr>
      <w:tr w:rsidR="00985831" w:rsidRPr="00E203A1" w:rsidTr="00FF52D7">
        <w:trPr>
          <w:trHeight w:val="330"/>
        </w:trPr>
        <w:tc>
          <w:tcPr>
            <w:tcW w:w="1711" w:type="pct"/>
            <w:noWrap/>
          </w:tcPr>
          <w:p w:rsidR="00985831" w:rsidRPr="00E203A1" w:rsidRDefault="00985831" w:rsidP="005D08FE">
            <w:pPr>
              <w:rPr>
                <w:rFonts w:ascii="Arial" w:eastAsia="Times New Roman" w:hAnsi="Arial" w:cs="Arial"/>
                <w:b/>
                <w:bCs/>
                <w:sz w:val="20"/>
                <w:szCs w:val="20"/>
              </w:rPr>
            </w:pPr>
            <w:r w:rsidRPr="00E203A1">
              <w:rPr>
                <w:rFonts w:ascii="Arial" w:eastAsia="Times New Roman" w:hAnsi="Arial" w:cs="Arial"/>
                <w:b/>
                <w:bCs/>
                <w:sz w:val="20"/>
                <w:szCs w:val="20"/>
              </w:rPr>
              <w:t>Cá biển và hải sản khác</w:t>
            </w:r>
          </w:p>
        </w:tc>
        <w:tc>
          <w:tcPr>
            <w:tcW w:w="1269" w:type="pct"/>
            <w:noWrap/>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1.371,5</w:t>
            </w:r>
          </w:p>
        </w:tc>
        <w:tc>
          <w:tcPr>
            <w:tcW w:w="2020" w:type="pct"/>
          </w:tcPr>
          <w:p w:rsidR="00985831" w:rsidRPr="00E203A1" w:rsidRDefault="00985831" w:rsidP="005D08FE">
            <w:pPr>
              <w:jc w:val="right"/>
              <w:rPr>
                <w:rFonts w:ascii="Arial" w:eastAsia="Times New Roman" w:hAnsi="Arial" w:cs="Arial"/>
                <w:b/>
                <w:color w:val="000000"/>
                <w:sz w:val="20"/>
                <w:szCs w:val="20"/>
              </w:rPr>
            </w:pPr>
            <w:r w:rsidRPr="00E203A1">
              <w:rPr>
                <w:rFonts w:ascii="Arial" w:eastAsia="Times New Roman" w:hAnsi="Arial" w:cs="Arial"/>
                <w:color w:val="000000"/>
                <w:sz w:val="20"/>
                <w:szCs w:val="20"/>
              </w:rPr>
              <w:t>1,0</w:t>
            </w:r>
          </w:p>
        </w:tc>
      </w:tr>
      <w:tr w:rsidR="00985831" w:rsidRPr="00E203A1" w:rsidTr="00FF52D7">
        <w:trPr>
          <w:trHeight w:val="315"/>
        </w:trPr>
        <w:tc>
          <w:tcPr>
            <w:tcW w:w="1711" w:type="pct"/>
            <w:noWrap/>
          </w:tcPr>
          <w:p w:rsidR="00985831" w:rsidRPr="00E203A1" w:rsidRDefault="00985831" w:rsidP="005D08FE">
            <w:pPr>
              <w:rPr>
                <w:rFonts w:ascii="Arial" w:eastAsia="Times New Roman" w:hAnsi="Arial" w:cs="Arial"/>
                <w:b/>
                <w:bCs/>
                <w:color w:val="FF0000"/>
                <w:sz w:val="20"/>
                <w:szCs w:val="20"/>
              </w:rPr>
            </w:pPr>
            <w:r w:rsidRPr="00E203A1">
              <w:rPr>
                <w:rFonts w:ascii="Arial" w:eastAsia="Times New Roman" w:hAnsi="Arial" w:cs="Arial"/>
                <w:b/>
                <w:bCs/>
                <w:color w:val="FF0000"/>
                <w:sz w:val="20"/>
                <w:szCs w:val="20"/>
              </w:rPr>
              <w:t xml:space="preserve">Tổng </w:t>
            </w:r>
          </w:p>
        </w:tc>
        <w:tc>
          <w:tcPr>
            <w:tcW w:w="1269" w:type="pct"/>
            <w:noWrap/>
          </w:tcPr>
          <w:p w:rsidR="00985831" w:rsidRPr="00E203A1" w:rsidRDefault="00985831" w:rsidP="005D08FE">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8.587,1</w:t>
            </w:r>
          </w:p>
        </w:tc>
        <w:tc>
          <w:tcPr>
            <w:tcW w:w="2020" w:type="pct"/>
          </w:tcPr>
          <w:p w:rsidR="00985831" w:rsidRPr="00E203A1" w:rsidRDefault="00985831" w:rsidP="005D08FE">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0,0</w:t>
            </w:r>
          </w:p>
        </w:tc>
      </w:tr>
    </w:tbl>
    <w:p w:rsidR="00531918" w:rsidRPr="00E203A1" w:rsidRDefault="00531918" w:rsidP="00531918">
      <w:pPr>
        <w:spacing w:before="120" w:after="120" w:line="340" w:lineRule="exact"/>
        <w:jc w:val="both"/>
        <w:rPr>
          <w:rFonts w:ascii="Arial" w:hAnsi="Arial" w:cs="Arial"/>
          <w:b/>
        </w:rPr>
      </w:pPr>
    </w:p>
    <w:p w:rsidR="00FF52D7" w:rsidRPr="00E203A1" w:rsidRDefault="00FF52D7" w:rsidP="00531918">
      <w:pPr>
        <w:spacing w:before="120" w:after="120" w:line="340" w:lineRule="exact"/>
        <w:jc w:val="both"/>
        <w:rPr>
          <w:rFonts w:ascii="Arial" w:hAnsi="Arial" w:cs="Arial"/>
          <w:b/>
        </w:rPr>
      </w:pPr>
    </w:p>
    <w:tbl>
      <w:tblPr>
        <w:tblStyle w:val="TableGrid"/>
        <w:tblW w:w="5000" w:type="pct"/>
        <w:tblLook w:val="04A0" w:firstRow="1" w:lastRow="0" w:firstColumn="1" w:lastColumn="0" w:noHBand="0" w:noVBand="1"/>
      </w:tblPr>
      <w:tblGrid>
        <w:gridCol w:w="2206"/>
        <w:gridCol w:w="4182"/>
        <w:gridCol w:w="3863"/>
      </w:tblGrid>
      <w:tr w:rsidR="00FF52D7" w:rsidRPr="00E203A1" w:rsidTr="00B4147B">
        <w:trPr>
          <w:trHeight w:val="300"/>
        </w:trPr>
        <w:tc>
          <w:tcPr>
            <w:tcW w:w="5000" w:type="pct"/>
            <w:gridSpan w:val="3"/>
            <w:shd w:val="clear" w:color="auto" w:fill="D9E2F3" w:themeFill="accent5" w:themeFillTint="33"/>
          </w:tcPr>
          <w:p w:rsidR="00FF52D7" w:rsidRPr="00E203A1" w:rsidRDefault="00FF52D7" w:rsidP="00FF52D7">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lastRenderedPageBreak/>
              <w:t>XK thủy sản năm 2020, theo thị trường (triệu USD)</w:t>
            </w:r>
          </w:p>
        </w:tc>
      </w:tr>
      <w:tr w:rsidR="00FF52D7" w:rsidRPr="00E203A1" w:rsidTr="00B4147B">
        <w:trPr>
          <w:trHeight w:val="300"/>
        </w:trPr>
        <w:tc>
          <w:tcPr>
            <w:tcW w:w="1076" w:type="pct"/>
            <w:shd w:val="clear" w:color="auto" w:fill="D9E2F3" w:themeFill="accent5" w:themeFillTint="33"/>
          </w:tcPr>
          <w:p w:rsidR="00FF52D7" w:rsidRPr="00E203A1" w:rsidRDefault="00FF52D7" w:rsidP="005D08FE">
            <w:pPr>
              <w:rPr>
                <w:rFonts w:ascii="Arial" w:eastAsia="Times New Roman" w:hAnsi="Arial" w:cs="Arial"/>
                <w:b/>
                <w:sz w:val="20"/>
                <w:szCs w:val="20"/>
              </w:rPr>
            </w:pPr>
            <w:r w:rsidRPr="00E203A1">
              <w:rPr>
                <w:rFonts w:ascii="Arial" w:eastAsia="Times New Roman" w:hAnsi="Arial" w:cs="Arial"/>
                <w:b/>
                <w:sz w:val="20"/>
                <w:szCs w:val="20"/>
              </w:rPr>
              <w:t xml:space="preserve">Thị trường  </w:t>
            </w:r>
          </w:p>
        </w:tc>
        <w:tc>
          <w:tcPr>
            <w:tcW w:w="2040" w:type="pct"/>
            <w:shd w:val="clear" w:color="auto" w:fill="D9E2F3" w:themeFill="accent5" w:themeFillTint="33"/>
            <w:noWrap/>
          </w:tcPr>
          <w:p w:rsidR="00FF52D7" w:rsidRPr="00E203A1" w:rsidRDefault="00FF52D7" w:rsidP="005D08F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2020 (ước)</w:t>
            </w:r>
          </w:p>
        </w:tc>
        <w:tc>
          <w:tcPr>
            <w:tcW w:w="1884" w:type="pct"/>
            <w:shd w:val="clear" w:color="auto" w:fill="D9E2F3" w:themeFill="accent5" w:themeFillTint="33"/>
            <w:noWrap/>
          </w:tcPr>
          <w:p w:rsidR="00FF52D7" w:rsidRPr="00E203A1" w:rsidRDefault="00FF52D7" w:rsidP="005D08FE">
            <w:pPr>
              <w:jc w:val="center"/>
              <w:rPr>
                <w:rFonts w:ascii="Arial" w:eastAsia="Times New Roman" w:hAnsi="Arial" w:cs="Arial"/>
                <w:b/>
                <w:bCs/>
                <w:color w:val="000000"/>
                <w:sz w:val="20"/>
                <w:szCs w:val="20"/>
              </w:rPr>
            </w:pPr>
            <w:r w:rsidRPr="00E203A1">
              <w:rPr>
                <w:rFonts w:ascii="Arial" w:eastAsia="Times New Roman" w:hAnsi="Arial" w:cs="Arial"/>
                <w:b/>
                <w:bCs/>
                <w:color w:val="000000"/>
                <w:sz w:val="20"/>
                <w:szCs w:val="20"/>
              </w:rPr>
              <w:t>Tăng trưởng so với 2019 (%)</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Nhật Bản</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1.418,2</w:t>
            </w:r>
          </w:p>
        </w:tc>
        <w:tc>
          <w:tcPr>
            <w:tcW w:w="1884" w:type="pct"/>
            <w:noWrap/>
            <w:hideMark/>
          </w:tcPr>
          <w:p w:rsidR="00FF52D7" w:rsidRPr="00E203A1" w:rsidRDefault="00FF52D7" w:rsidP="00FF52D7">
            <w:pPr>
              <w:jc w:val="right"/>
              <w:rPr>
                <w:rFonts w:ascii="Arial" w:eastAsia="Times New Roman" w:hAnsi="Arial" w:cs="Arial"/>
                <w:color w:val="000000"/>
                <w:sz w:val="22"/>
              </w:rPr>
            </w:pPr>
            <w:r w:rsidRPr="00E203A1">
              <w:rPr>
                <w:rFonts w:ascii="Arial" w:eastAsia="Times New Roman" w:hAnsi="Arial" w:cs="Arial"/>
                <w:color w:val="000000"/>
                <w:sz w:val="22"/>
              </w:rPr>
              <w:t>3,0</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Mỹ</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1.665,6</w:t>
            </w:r>
          </w:p>
        </w:tc>
        <w:tc>
          <w:tcPr>
            <w:tcW w:w="1884" w:type="pct"/>
            <w:noWrap/>
            <w:hideMark/>
          </w:tcPr>
          <w:p w:rsidR="00FF52D7" w:rsidRPr="00E203A1" w:rsidRDefault="00FF52D7" w:rsidP="00FF52D7">
            <w:pPr>
              <w:jc w:val="right"/>
              <w:rPr>
                <w:rFonts w:ascii="Arial" w:eastAsia="Times New Roman" w:hAnsi="Arial" w:cs="Arial"/>
                <w:color w:val="000000"/>
                <w:sz w:val="22"/>
              </w:rPr>
            </w:pPr>
            <w:r w:rsidRPr="00E203A1">
              <w:rPr>
                <w:rFonts w:ascii="Arial" w:eastAsia="Times New Roman" w:hAnsi="Arial" w:cs="Arial"/>
                <w:color w:val="000000"/>
                <w:sz w:val="22"/>
              </w:rPr>
              <w:t>13,0</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Trung Quốc</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1.488,1</w:t>
            </w:r>
          </w:p>
        </w:tc>
        <w:tc>
          <w:tcPr>
            <w:tcW w:w="1884"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5</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EU</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991,2</w:t>
            </w:r>
          </w:p>
        </w:tc>
        <w:tc>
          <w:tcPr>
            <w:tcW w:w="1884" w:type="pct"/>
            <w:noWrap/>
            <w:hideMark/>
          </w:tcPr>
          <w:p w:rsidR="00FF52D7" w:rsidRPr="00E203A1" w:rsidRDefault="00FF52D7" w:rsidP="00FF52D7">
            <w:pPr>
              <w:jc w:val="right"/>
              <w:rPr>
                <w:rFonts w:ascii="Arial" w:eastAsia="Times New Roman" w:hAnsi="Arial" w:cs="Arial"/>
                <w:color w:val="000000"/>
                <w:sz w:val="22"/>
              </w:rPr>
            </w:pPr>
            <w:r w:rsidRPr="00E203A1">
              <w:rPr>
                <w:rFonts w:ascii="Arial" w:eastAsia="Times New Roman" w:hAnsi="Arial" w:cs="Arial"/>
                <w:color w:val="000000"/>
                <w:sz w:val="22"/>
              </w:rPr>
              <w:t>-2,5</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Hàn Quốc</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770,4</w:t>
            </w:r>
          </w:p>
        </w:tc>
        <w:tc>
          <w:tcPr>
            <w:tcW w:w="1884" w:type="pct"/>
            <w:noWrap/>
            <w:hideMark/>
          </w:tcPr>
          <w:p w:rsidR="00FF52D7" w:rsidRPr="00E203A1" w:rsidRDefault="00FF52D7" w:rsidP="00FF52D7">
            <w:pPr>
              <w:jc w:val="right"/>
              <w:rPr>
                <w:rFonts w:ascii="Arial" w:eastAsia="Times New Roman" w:hAnsi="Arial" w:cs="Arial"/>
                <w:color w:val="000000"/>
                <w:sz w:val="22"/>
              </w:rPr>
            </w:pPr>
            <w:r w:rsidRPr="00E203A1">
              <w:rPr>
                <w:rFonts w:ascii="Arial" w:eastAsia="Times New Roman" w:hAnsi="Arial" w:cs="Arial"/>
                <w:color w:val="000000"/>
                <w:sz w:val="22"/>
              </w:rPr>
              <w:t>-1,6</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 xml:space="preserve">ASEAN </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567,5</w:t>
            </w:r>
          </w:p>
        </w:tc>
        <w:tc>
          <w:tcPr>
            <w:tcW w:w="1884" w:type="pct"/>
            <w:noWrap/>
            <w:hideMark/>
          </w:tcPr>
          <w:p w:rsidR="00FF52D7" w:rsidRPr="00E203A1" w:rsidRDefault="00FF52D7" w:rsidP="00FF52D7">
            <w:pPr>
              <w:jc w:val="right"/>
              <w:rPr>
                <w:rFonts w:ascii="Arial" w:eastAsia="Times New Roman" w:hAnsi="Arial" w:cs="Arial"/>
                <w:color w:val="000000"/>
                <w:sz w:val="22"/>
              </w:rPr>
            </w:pPr>
            <w:r w:rsidRPr="00E203A1">
              <w:rPr>
                <w:rFonts w:ascii="Arial" w:eastAsia="Times New Roman" w:hAnsi="Arial" w:cs="Arial"/>
                <w:color w:val="000000"/>
                <w:sz w:val="22"/>
              </w:rPr>
              <w:t>-18</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Canada</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264,3</w:t>
            </w:r>
          </w:p>
        </w:tc>
        <w:tc>
          <w:tcPr>
            <w:tcW w:w="1884"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15</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Australia</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218,7</w:t>
            </w:r>
          </w:p>
        </w:tc>
        <w:tc>
          <w:tcPr>
            <w:tcW w:w="1884"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5</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Nga</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143,9</w:t>
            </w:r>
          </w:p>
        </w:tc>
        <w:tc>
          <w:tcPr>
            <w:tcW w:w="1884"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140</w:t>
            </w:r>
          </w:p>
        </w:tc>
      </w:tr>
      <w:tr w:rsidR="00FF52D7" w:rsidRPr="00E203A1" w:rsidTr="00FF52D7">
        <w:trPr>
          <w:trHeight w:val="300"/>
        </w:trPr>
        <w:tc>
          <w:tcPr>
            <w:tcW w:w="1076" w:type="pct"/>
            <w:vAlign w:val="bottom"/>
          </w:tcPr>
          <w:p w:rsidR="00FF52D7" w:rsidRPr="00E203A1" w:rsidRDefault="00FF52D7" w:rsidP="005D08FE">
            <w:pPr>
              <w:rPr>
                <w:rFonts w:ascii="Arial" w:hAnsi="Arial" w:cs="Arial"/>
                <w:color w:val="000000"/>
                <w:sz w:val="22"/>
              </w:rPr>
            </w:pPr>
            <w:r w:rsidRPr="00E203A1">
              <w:rPr>
                <w:rFonts w:ascii="Arial" w:hAnsi="Arial" w:cs="Arial"/>
                <w:color w:val="000000"/>
                <w:sz w:val="22"/>
              </w:rPr>
              <w:t>Các TT khác</w:t>
            </w:r>
          </w:p>
        </w:tc>
        <w:tc>
          <w:tcPr>
            <w:tcW w:w="2040"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1.060,7</w:t>
            </w:r>
          </w:p>
        </w:tc>
        <w:tc>
          <w:tcPr>
            <w:tcW w:w="1884" w:type="pct"/>
            <w:noWrap/>
            <w:hideMark/>
          </w:tcPr>
          <w:p w:rsidR="00FF52D7" w:rsidRPr="00E203A1" w:rsidRDefault="00FF52D7" w:rsidP="005D08FE">
            <w:pPr>
              <w:jc w:val="right"/>
              <w:rPr>
                <w:rFonts w:ascii="Arial" w:eastAsia="Times New Roman" w:hAnsi="Arial" w:cs="Arial"/>
                <w:color w:val="000000"/>
                <w:sz w:val="22"/>
              </w:rPr>
            </w:pPr>
            <w:r w:rsidRPr="00E203A1">
              <w:rPr>
                <w:rFonts w:ascii="Arial" w:eastAsia="Times New Roman" w:hAnsi="Arial" w:cs="Arial"/>
                <w:color w:val="000000"/>
                <w:sz w:val="22"/>
              </w:rPr>
              <w:t>-11</w:t>
            </w:r>
          </w:p>
        </w:tc>
      </w:tr>
      <w:tr w:rsidR="00FF52D7" w:rsidRPr="00E203A1" w:rsidTr="00FF52D7">
        <w:trPr>
          <w:trHeight w:val="300"/>
        </w:trPr>
        <w:tc>
          <w:tcPr>
            <w:tcW w:w="1076" w:type="pct"/>
            <w:vAlign w:val="bottom"/>
          </w:tcPr>
          <w:p w:rsidR="00FF52D7" w:rsidRPr="00E203A1" w:rsidRDefault="00FF52D7" w:rsidP="005D08FE">
            <w:pPr>
              <w:rPr>
                <w:rFonts w:ascii="Arial" w:hAnsi="Arial" w:cs="Arial"/>
                <w:b/>
                <w:color w:val="000000"/>
                <w:sz w:val="22"/>
              </w:rPr>
            </w:pPr>
            <w:r w:rsidRPr="00E203A1">
              <w:rPr>
                <w:rFonts w:ascii="Arial" w:hAnsi="Arial" w:cs="Arial"/>
                <w:b/>
                <w:color w:val="000000"/>
                <w:sz w:val="22"/>
              </w:rPr>
              <w:t>Tổng</w:t>
            </w:r>
          </w:p>
        </w:tc>
        <w:tc>
          <w:tcPr>
            <w:tcW w:w="2040" w:type="pct"/>
            <w:noWrap/>
            <w:hideMark/>
          </w:tcPr>
          <w:p w:rsidR="00FF52D7" w:rsidRPr="00E203A1" w:rsidRDefault="00FF52D7" w:rsidP="005D08FE">
            <w:pPr>
              <w:jc w:val="right"/>
              <w:rPr>
                <w:rFonts w:ascii="Arial" w:eastAsia="Times New Roman" w:hAnsi="Arial" w:cs="Arial"/>
                <w:b/>
                <w:color w:val="000000"/>
                <w:sz w:val="22"/>
              </w:rPr>
            </w:pPr>
            <w:r w:rsidRPr="00E203A1">
              <w:rPr>
                <w:rFonts w:ascii="Arial" w:eastAsia="Times New Roman" w:hAnsi="Arial" w:cs="Arial"/>
                <w:b/>
                <w:color w:val="000000"/>
                <w:sz w:val="22"/>
              </w:rPr>
              <w:t>8.587,1</w:t>
            </w:r>
          </w:p>
        </w:tc>
        <w:tc>
          <w:tcPr>
            <w:tcW w:w="1884" w:type="pct"/>
            <w:noWrap/>
            <w:hideMark/>
          </w:tcPr>
          <w:p w:rsidR="00FF52D7" w:rsidRPr="00E203A1" w:rsidRDefault="00FF52D7" w:rsidP="005D08FE">
            <w:pPr>
              <w:jc w:val="right"/>
              <w:rPr>
                <w:rFonts w:ascii="Arial" w:eastAsia="Times New Roman" w:hAnsi="Arial" w:cs="Arial"/>
                <w:b/>
                <w:color w:val="000000"/>
                <w:sz w:val="22"/>
              </w:rPr>
            </w:pPr>
            <w:r w:rsidRPr="00E203A1">
              <w:rPr>
                <w:rFonts w:ascii="Arial" w:eastAsia="Times New Roman" w:hAnsi="Arial" w:cs="Arial"/>
                <w:b/>
                <w:color w:val="000000"/>
                <w:sz w:val="22"/>
              </w:rPr>
              <w:t>0</w:t>
            </w:r>
          </w:p>
        </w:tc>
      </w:tr>
    </w:tbl>
    <w:p w:rsidR="00E203A1" w:rsidRDefault="00E203A1" w:rsidP="00AD7CC3">
      <w:pPr>
        <w:spacing w:before="120" w:line="340" w:lineRule="exact"/>
        <w:jc w:val="both"/>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5285"/>
      </w:tblGrid>
      <w:tr w:rsidR="001669A6" w:rsidTr="001669A6">
        <w:tc>
          <w:tcPr>
            <w:tcW w:w="5228" w:type="dxa"/>
          </w:tcPr>
          <w:p w:rsidR="00E203A1" w:rsidRDefault="001669A6" w:rsidP="001669A6">
            <w:pPr>
              <w:spacing w:before="120" w:line="340" w:lineRule="exact"/>
              <w:jc w:val="both"/>
              <w:rPr>
                <w:rFonts w:ascii="Arial" w:hAnsi="Arial" w:cs="Arial"/>
                <w:b/>
                <w:sz w:val="22"/>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259715</wp:posOffset>
                  </wp:positionV>
                  <wp:extent cx="3124200" cy="2933700"/>
                  <wp:effectExtent l="0" t="0" r="0" b="0"/>
                  <wp:wrapTight wrapText="bothSides">
                    <wp:wrapPolygon edited="0">
                      <wp:start x="0" y="0"/>
                      <wp:lineTo x="0" y="21460"/>
                      <wp:lineTo x="21468" y="21460"/>
                      <wp:lineTo x="2146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c>
          <w:tcPr>
            <w:tcW w:w="5229" w:type="dxa"/>
          </w:tcPr>
          <w:p w:rsidR="00E203A1" w:rsidRDefault="001669A6" w:rsidP="00AD7CC3">
            <w:pPr>
              <w:spacing w:before="120" w:line="340" w:lineRule="exact"/>
              <w:jc w:val="both"/>
              <w:rPr>
                <w:rFonts w:ascii="Arial" w:hAnsi="Arial" w:cs="Arial"/>
                <w:b/>
                <w:sz w:val="22"/>
              </w:rPr>
            </w:pPr>
            <w:r>
              <w:rPr>
                <w:noProof/>
              </w:rPr>
              <w:drawing>
                <wp:anchor distT="0" distB="0" distL="114300" distR="114300" simplePos="0" relativeHeight="251659264" behindDoc="1" locked="0" layoutInCell="1" allowOverlap="1">
                  <wp:simplePos x="0" y="0"/>
                  <wp:positionH relativeFrom="column">
                    <wp:posOffset>17780</wp:posOffset>
                  </wp:positionH>
                  <wp:positionV relativeFrom="paragraph">
                    <wp:posOffset>306705</wp:posOffset>
                  </wp:positionV>
                  <wp:extent cx="3333750" cy="2828925"/>
                  <wp:effectExtent l="0" t="0" r="0" b="9525"/>
                  <wp:wrapTight wrapText="bothSides">
                    <wp:wrapPolygon edited="0">
                      <wp:start x="0" y="0"/>
                      <wp:lineTo x="0" y="21527"/>
                      <wp:lineTo x="21477" y="21527"/>
                      <wp:lineTo x="21477"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r>
    </w:tbl>
    <w:p w:rsidR="00E203A1" w:rsidRDefault="00E203A1" w:rsidP="00AD7CC3">
      <w:pPr>
        <w:spacing w:before="120" w:line="340" w:lineRule="exact"/>
        <w:jc w:val="both"/>
        <w:rPr>
          <w:rFonts w:ascii="Arial" w:hAnsi="Arial" w:cs="Arial"/>
          <w:b/>
          <w:sz w:val="22"/>
        </w:rPr>
      </w:pPr>
    </w:p>
    <w:p w:rsidR="00AD7CC3" w:rsidRPr="00E203A1" w:rsidRDefault="00AD7CC3" w:rsidP="00AD7CC3">
      <w:pPr>
        <w:spacing w:before="120" w:line="340" w:lineRule="exact"/>
        <w:jc w:val="both"/>
        <w:rPr>
          <w:rFonts w:ascii="Arial" w:hAnsi="Arial" w:cs="Arial"/>
          <w:b/>
          <w:sz w:val="22"/>
        </w:rPr>
      </w:pPr>
      <w:r w:rsidRPr="00E203A1">
        <w:rPr>
          <w:rFonts w:ascii="Arial" w:hAnsi="Arial" w:cs="Arial"/>
          <w:b/>
          <w:sz w:val="22"/>
        </w:rPr>
        <w:t>3.3. Dịch Covid-19 tác động xu hướng và kết quả XK thủy sản của Việt Nam</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t xml:space="preserve">Vì sao có sự khác biệt về xu hướng XK các sản phẩm chính trong năm 2020: tôm tăng, cá tra và một số sản phẩm hải sản giảm? Vì dịch bệnh Covid làm thay đổi xu hướng tiêu thụ ở các thị trường: giảm tiêu thụ các kênh dịch vụ, nhà hàng, khách sạn, tăng tiêu thụ tại các siêu thị, các kênh bán lẻ. </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t>Cá tra của Việt Nam XK sang các thị trường chính được tiêu thụ chính cho phân khúc dịch vụ. Trong khi đó, tôm với các loài và size cỡ và dạng sản phẩm, cách chế biến khác nhau vẫn phù hợp tiêu thụ tại các siêu thị và phân khúc bán lẻ, phù hợp cho chế biến tại nhà trong những thời điểm giãn cách xã hội. Một số sản phẩm hải sản cũng tương tự như vậy.</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lastRenderedPageBreak/>
        <w:t>Có nhiều sản phẩm Việt Nam vẫn XK tốt như: tôm chân trắng nuôi đông lạnh và chế biến,  tôm biển, cá ngừ và các loại cá biển đóng hộp, nước mắm, các loại thủy sản khô như cá, mực bạch tuộc khô, những sản phẩm chế biến sẵn khác, sản phẩm ăn liền, sản phẩm có thời hạn bảo quản lâu...</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t xml:space="preserve">Tuy nhiên, kết quả trên chỉ là tình hình chung. Thực tế, dịch bệnh Covid làm đứt gãy chuỗi cung ứng toàn cầu, trong đó có thủy sản. Nuôi trồng và khai thác thủy sản đều bị ảnh hưởng. Có những giai đoạn (như từi tháng 3 đến tháng 5), sản phẩm nuôi như tôm và cá tra không xuất được, lượng tồn kho tăng nhưng hệ thống kho lạnh ở Việt Nam không đủ, thuê kho giá đắt.  Khai thác hải sản khó khăn, sản lượng giảm. Trong những năm gần đây các công ty phải NK các sản phẩm biển từ các nước láng giềng nhưng năm nay cũng bị giảm nhập vì dịch Covid ảnh hưởng sản lượng và vận tải của các nước. </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t xml:space="preserve">Tại Việt Nam, dù dịch bệnh Covid không nghiêm trọng như các nước khác trên thế giới, nhưng cũng khiến cho thị trường lao động xáo trộn. Lao động trong nhà máy chế biến thủy sản có tính đặc thù, làm việc theo dây chuyền nên khi dịch cao điểm các nhà máy phải cho công nhân nghỉ, nhưng khi dịch lắng xuống doanh nghiệp lại bị thiếu lao động. Ngoài ra, các chi phí trong chuỗi sản xuất đều tăng, nhất là cước vận tải. </w:t>
      </w:r>
    </w:p>
    <w:p w:rsidR="00AD7CC3" w:rsidRPr="00E203A1" w:rsidRDefault="00AD7CC3" w:rsidP="00AD7CC3">
      <w:pPr>
        <w:spacing w:before="120" w:line="340" w:lineRule="exact"/>
        <w:jc w:val="both"/>
        <w:rPr>
          <w:rFonts w:ascii="Arial" w:hAnsi="Arial" w:cs="Arial"/>
          <w:sz w:val="22"/>
        </w:rPr>
      </w:pPr>
      <w:r w:rsidRPr="00E203A1">
        <w:rPr>
          <w:rFonts w:ascii="Arial" w:hAnsi="Arial" w:cs="Arial"/>
          <w:sz w:val="22"/>
        </w:rPr>
        <w:t>Trong tình hình đó, dù rất nỗ lực và linh hoạt trong việc điều chỉnh cơ cấu sản phẩm và thị trường thì nhiều doanh nghiệp, kể cả DN lớn cũng khó khăn về tài chính, các DN nhỏ thực sự khó khăn vì thiếu vốn, nợ ngân hàng.</w:t>
      </w:r>
    </w:p>
    <w:p w:rsidR="00FF52D7" w:rsidRPr="00E203A1" w:rsidRDefault="00FF52D7" w:rsidP="00531918">
      <w:pPr>
        <w:spacing w:before="120" w:after="120" w:line="340" w:lineRule="exact"/>
        <w:jc w:val="both"/>
        <w:rPr>
          <w:rFonts w:ascii="Arial" w:hAnsi="Arial" w:cs="Arial"/>
          <w:b/>
        </w:rPr>
      </w:pPr>
    </w:p>
    <w:p w:rsidR="00531918" w:rsidRPr="005A25CF" w:rsidRDefault="00531918" w:rsidP="00531918">
      <w:pPr>
        <w:spacing w:before="120" w:after="120" w:line="340" w:lineRule="exact"/>
        <w:jc w:val="both"/>
        <w:rPr>
          <w:rFonts w:ascii="Arial" w:hAnsi="Arial" w:cs="Arial"/>
          <w:b/>
          <w:color w:val="2F5496" w:themeColor="accent5" w:themeShade="BF"/>
        </w:rPr>
      </w:pPr>
      <w:r w:rsidRPr="005A25CF">
        <w:rPr>
          <w:rFonts w:ascii="Arial" w:hAnsi="Arial" w:cs="Arial"/>
          <w:b/>
          <w:color w:val="2F5496" w:themeColor="accent5" w:themeShade="BF"/>
        </w:rPr>
        <w:t>III. CƠ HỘI-THÁCH THỨC VÀ DỰ BÁO XUẤT KHẨU THỦY SẢN GIAI ĐOẠN 2021-2025</w:t>
      </w:r>
    </w:p>
    <w:p w:rsidR="001669A6" w:rsidRDefault="001669A6" w:rsidP="00531918">
      <w:pPr>
        <w:spacing w:before="120" w:after="120" w:line="340" w:lineRule="exact"/>
        <w:jc w:val="both"/>
        <w:rPr>
          <w:rFonts w:ascii="Arial" w:hAnsi="Arial" w:cs="Arial"/>
          <w:b/>
        </w:rPr>
      </w:pPr>
      <w:r>
        <w:rPr>
          <w:rFonts w:ascii="Arial" w:hAnsi="Arial" w:cs="Arial"/>
          <w:b/>
        </w:rPr>
        <w:t xml:space="preserve">1. Kinh tế thế giới hồi phục chậm sau Covid làm giảm nhu cầu </w:t>
      </w:r>
    </w:p>
    <w:p w:rsidR="00330BD1" w:rsidRPr="00330BD1" w:rsidRDefault="00330BD1" w:rsidP="00330BD1">
      <w:pPr>
        <w:shd w:val="clear" w:color="auto" w:fill="FFFFFF"/>
        <w:spacing w:before="120" w:after="120" w:line="300" w:lineRule="exact"/>
        <w:jc w:val="both"/>
        <w:rPr>
          <w:rFonts w:ascii="Arial" w:eastAsia="Times New Roman" w:hAnsi="Arial" w:cs="Arial"/>
          <w:color w:val="222222"/>
          <w:sz w:val="22"/>
        </w:rPr>
      </w:pPr>
      <w:r w:rsidRPr="00330BD1">
        <w:rPr>
          <w:rFonts w:ascii="Arial" w:eastAsia="Times New Roman" w:hAnsi="Arial" w:cs="Arial"/>
          <w:color w:val="222222"/>
          <w:sz w:val="22"/>
        </w:rPr>
        <w:t>Năm 2020, thế giới trải qua đợt suy thoái kinh tế tồi tệ nhất kể từ Thế chiến thứ hai, với Tổng sản phẩm quốc nội (GDP) toàn cầu ước giảm khoảng 3,8%.</w:t>
      </w:r>
      <w:r>
        <w:rPr>
          <w:rFonts w:ascii="Arial" w:eastAsia="Times New Roman" w:hAnsi="Arial" w:cs="Arial"/>
          <w:color w:val="222222"/>
          <w:sz w:val="22"/>
        </w:rPr>
        <w:t xml:space="preserve"> Theo dự báo của các chuyên gia, k</w:t>
      </w:r>
      <w:r w:rsidRPr="00330BD1">
        <w:rPr>
          <w:rFonts w:ascii="Arial" w:eastAsia="Times New Roman" w:hAnsi="Arial" w:cs="Arial"/>
          <w:color w:val="222222"/>
          <w:sz w:val="22"/>
        </w:rPr>
        <w:t>inh tế thế giới có thể sẽ phục hồi với mức tăng khoảng 3,1% vào năm 2021. </w:t>
      </w:r>
    </w:p>
    <w:p w:rsidR="002332EC" w:rsidRPr="00330BD1" w:rsidRDefault="002332EC" w:rsidP="002332EC">
      <w:pPr>
        <w:shd w:val="clear" w:color="auto" w:fill="FFFFFF"/>
        <w:spacing w:before="120" w:after="120" w:line="300" w:lineRule="exact"/>
        <w:jc w:val="both"/>
        <w:rPr>
          <w:rFonts w:ascii="Arial" w:eastAsia="Times New Roman" w:hAnsi="Arial" w:cs="Arial"/>
          <w:color w:val="222222"/>
          <w:sz w:val="22"/>
        </w:rPr>
      </w:pPr>
      <w:r>
        <w:rPr>
          <w:rFonts w:ascii="Arial" w:eastAsia="Times New Roman" w:hAnsi="Arial" w:cs="Arial"/>
          <w:color w:val="222222"/>
          <w:sz w:val="22"/>
        </w:rPr>
        <w:t>N</w:t>
      </w:r>
      <w:r w:rsidRPr="00330BD1">
        <w:rPr>
          <w:rFonts w:ascii="Arial" w:eastAsia="Times New Roman" w:hAnsi="Arial" w:cs="Arial"/>
          <w:color w:val="222222"/>
          <w:sz w:val="22"/>
        </w:rPr>
        <w:t>ền kinh tế thế giới phụ thuộc nhiều vào diễn biến của đại dịch COVID-19. Sự tái bùng phát dịch bệnh dẫn đến những hạn chế đi lại mới và ảnh hưởng xấu đến sự phục hồi kinh tế ở hầu hết các quốc gia, làm nảy sinh giai đoạn III của cuộc khủng hoảng COVID-19. </w:t>
      </w:r>
    </w:p>
    <w:p w:rsidR="002332EC" w:rsidRPr="00330BD1" w:rsidRDefault="002332EC" w:rsidP="002332EC">
      <w:pPr>
        <w:shd w:val="clear" w:color="auto" w:fill="FFFFFF"/>
        <w:spacing w:before="120" w:after="120" w:line="300" w:lineRule="exact"/>
        <w:jc w:val="both"/>
        <w:rPr>
          <w:rFonts w:ascii="Arial" w:eastAsia="Times New Roman" w:hAnsi="Arial" w:cs="Arial"/>
          <w:color w:val="222222"/>
          <w:sz w:val="22"/>
        </w:rPr>
      </w:pPr>
      <w:r w:rsidRPr="00330BD1">
        <w:rPr>
          <w:rFonts w:ascii="Arial" w:eastAsia="Times New Roman" w:hAnsi="Arial" w:cs="Arial"/>
          <w:color w:val="222222"/>
          <w:sz w:val="22"/>
        </w:rPr>
        <w:t>Trong hai giai đoạn đầu của dịch bệnh, các biện pháp phong tỏa đã làm đình trệ mọi hoạt động kinh tế. Ở giai đoạn III, virus vẫn tiếp tục lây lan và các biện pháp giãn cách xã hội tiếp tục được áp dụng theo từng vùng địa lý. </w:t>
      </w:r>
    </w:p>
    <w:p w:rsidR="002332EC" w:rsidRPr="00330BD1" w:rsidRDefault="002332EC" w:rsidP="002332EC">
      <w:pPr>
        <w:shd w:val="clear" w:color="auto" w:fill="FFFFFF"/>
        <w:spacing w:before="120" w:after="120" w:line="300" w:lineRule="exact"/>
        <w:jc w:val="both"/>
        <w:rPr>
          <w:rFonts w:ascii="Arial" w:eastAsia="Times New Roman" w:hAnsi="Arial" w:cs="Arial"/>
          <w:color w:val="222222"/>
          <w:sz w:val="22"/>
        </w:rPr>
      </w:pPr>
      <w:r w:rsidRPr="00330BD1">
        <w:rPr>
          <w:rFonts w:ascii="Arial" w:eastAsia="Times New Roman" w:hAnsi="Arial" w:cs="Arial"/>
          <w:color w:val="222222"/>
          <w:sz w:val="22"/>
        </w:rPr>
        <w:t>Tuy nhiên, năm 2021, một khi dịch bệnh được kiểm soát, nền kinh tế thế giới nói chung, đặc biệt là khu vực Eurozone và một số quốc gia trong vùng nói riêng, được dự báo sẽ từng bước tăng trưởng trở lại, nhưng không chắc chắn, và tác động tiêu cực của đại dịch COVID-19 có thể kéo dài sang năm 2022 và 2023./.</w:t>
      </w:r>
    </w:p>
    <w:p w:rsidR="00330BD1" w:rsidRPr="00330BD1" w:rsidRDefault="00330BD1" w:rsidP="00330BD1">
      <w:pPr>
        <w:shd w:val="clear" w:color="auto" w:fill="FFFFFF"/>
        <w:spacing w:before="120" w:after="120" w:line="300" w:lineRule="exact"/>
        <w:jc w:val="both"/>
        <w:rPr>
          <w:rFonts w:ascii="Arial" w:eastAsia="Times New Roman" w:hAnsi="Arial" w:cs="Arial"/>
          <w:color w:val="222222"/>
          <w:sz w:val="22"/>
        </w:rPr>
      </w:pPr>
      <w:r w:rsidRPr="00330BD1">
        <w:rPr>
          <w:rFonts w:ascii="Arial" w:eastAsia="Times New Roman" w:hAnsi="Arial" w:cs="Arial"/>
          <w:color w:val="222222"/>
          <w:sz w:val="22"/>
        </w:rPr>
        <w:t>Sự phục hồi dự kiến sẽ rõ nét hơn ở các nước đang phát triển. Tuy nhiên, theo nhận định của giới chuyên gia kinh tế quốc tế, hậu quả của </w:t>
      </w:r>
      <w:hyperlink r:id="rId10" w:history="1">
        <w:r w:rsidRPr="00330BD1">
          <w:rPr>
            <w:rFonts w:ascii="Arial" w:eastAsia="Times New Roman" w:hAnsi="Arial" w:cs="Arial"/>
            <w:color w:val="1E87F0"/>
            <w:sz w:val="22"/>
          </w:rPr>
          <w:t>đại dịch COVID-19</w:t>
        </w:r>
      </w:hyperlink>
      <w:r w:rsidRPr="00330BD1">
        <w:rPr>
          <w:rFonts w:ascii="Arial" w:eastAsia="Times New Roman" w:hAnsi="Arial" w:cs="Arial"/>
          <w:color w:val="222222"/>
          <w:sz w:val="22"/>
        </w:rPr>
        <w:t> đối với kinh tế toàn cầu sẽ còn dai dẳng. Tăng trưởng GDP có thể đối mặt với triển vọng ảm đạm trong năm 2022-2023.</w:t>
      </w:r>
    </w:p>
    <w:p w:rsidR="00330BD1" w:rsidRPr="00330BD1" w:rsidRDefault="00330BD1" w:rsidP="00330BD1">
      <w:pPr>
        <w:shd w:val="clear" w:color="auto" w:fill="FFFFFF"/>
        <w:spacing w:before="120" w:after="120" w:line="300" w:lineRule="exact"/>
        <w:jc w:val="both"/>
        <w:rPr>
          <w:rFonts w:ascii="Arial" w:eastAsia="Times New Roman" w:hAnsi="Arial" w:cs="Arial"/>
          <w:color w:val="222222"/>
          <w:sz w:val="22"/>
        </w:rPr>
      </w:pPr>
      <w:r w:rsidRPr="00330BD1">
        <w:rPr>
          <w:rFonts w:ascii="Arial" w:eastAsia="Times New Roman" w:hAnsi="Arial" w:cs="Arial"/>
          <w:color w:val="222222"/>
          <w:sz w:val="22"/>
        </w:rPr>
        <w:t xml:space="preserve">Đối với các nền kinh tế phát triển, mức tăng trưởng GDP vào cuối năm 2021 sẽ vẫn thấp hơn năm 2019 và thấp hơn đáng kể so với mức dự kiến trước đại dịch. Kinh tế của Khu vực đồng tiền chung </w:t>
      </w:r>
      <w:r w:rsidRPr="00330BD1">
        <w:rPr>
          <w:rFonts w:ascii="Arial" w:eastAsia="Times New Roman" w:hAnsi="Arial" w:cs="Arial"/>
          <w:color w:val="222222"/>
          <w:sz w:val="22"/>
        </w:rPr>
        <w:lastRenderedPageBreak/>
        <w:t>châu Âu (Eurozone) dự kiến sẽ phục hồi với mức tăng 5,8% vào năm 2021, sau khi ghi nhận mức giảm 7,1% trong năm 2020.</w:t>
      </w:r>
    </w:p>
    <w:p w:rsidR="001669A6" w:rsidRDefault="001669A6" w:rsidP="00531918">
      <w:pPr>
        <w:spacing w:before="120" w:after="120" w:line="340" w:lineRule="exact"/>
        <w:jc w:val="both"/>
        <w:rPr>
          <w:rFonts w:ascii="Arial" w:hAnsi="Arial" w:cs="Arial"/>
          <w:b/>
        </w:rPr>
      </w:pPr>
      <w:r>
        <w:rPr>
          <w:rFonts w:ascii="Arial" w:hAnsi="Arial" w:cs="Arial"/>
          <w:b/>
        </w:rPr>
        <w:t xml:space="preserve">2. EVFTA và các FTA thúc đẩy XK sang các thị trường </w:t>
      </w:r>
    </w:p>
    <w:p w:rsidR="002332EC" w:rsidRPr="00671375" w:rsidRDefault="002332EC" w:rsidP="002332EC">
      <w:pPr>
        <w:spacing w:before="120" w:after="120" w:line="340" w:lineRule="exact"/>
        <w:jc w:val="both"/>
        <w:rPr>
          <w:rFonts w:ascii="Arial" w:hAnsi="Arial" w:cs="Arial"/>
          <w:sz w:val="22"/>
        </w:rPr>
      </w:pPr>
      <w:r w:rsidRPr="00671375">
        <w:rPr>
          <w:rFonts w:ascii="Arial" w:hAnsi="Arial" w:cs="Arial"/>
          <w:b/>
          <w:sz w:val="22"/>
        </w:rPr>
        <w:t>2.1. EVFTA</w:t>
      </w:r>
      <w:r w:rsidRPr="00671375">
        <w:rPr>
          <w:rFonts w:ascii="Arial" w:hAnsi="Arial" w:cs="Arial"/>
          <w:sz w:val="22"/>
        </w:rPr>
        <w:t xml:space="preserve"> có hiệu lực từ 1/8/2020 đang mang lại những tín hiệu rất tích cực đối với kết quả XK thủy sản của Việt Nam sang thị trường EU. Trong  7 tháng đầu năm 2020, XK thủy sản Việt Nam sang EU liên tục sụt giảm do tác động của dịch Covid-19. Từ tháng 3-tháng 6, giai đoạn đỉnh điểm, XK sang EU giảm từ 17 – 26% so với cùng kỳ năm trước.</w:t>
      </w:r>
    </w:p>
    <w:p w:rsidR="002332EC" w:rsidRPr="00671375" w:rsidRDefault="002332EC" w:rsidP="002332EC">
      <w:pPr>
        <w:spacing w:before="120" w:after="120" w:line="340" w:lineRule="exact"/>
        <w:jc w:val="both"/>
        <w:rPr>
          <w:rFonts w:ascii="Arial" w:hAnsi="Arial" w:cs="Arial"/>
          <w:sz w:val="22"/>
        </w:rPr>
      </w:pPr>
      <w:r w:rsidRPr="00671375">
        <w:rPr>
          <w:rFonts w:ascii="Arial" w:hAnsi="Arial" w:cs="Arial"/>
          <w:sz w:val="22"/>
        </w:rPr>
        <w:t xml:space="preserve">Tuy nhiên, từ tháng 8/2020, sau khi hiệp định EVFTA có hiệu lực, XK có xu hướng tăng rõ rệt so với cùng kỳ năm 2019: tăng 15-30%. Nguyên nhân: ngoài sự điều chỉnh thích ứng với sự thay đổi nhu cầu thị trường do dịch Covid thì yếu tố chính tác động đến tăng trưởng XK sang EU là thuế NK giảm. </w:t>
      </w:r>
    </w:p>
    <w:p w:rsidR="002332EC" w:rsidRPr="00671375" w:rsidRDefault="002332EC" w:rsidP="002332EC">
      <w:pPr>
        <w:spacing w:before="120" w:after="0" w:line="320" w:lineRule="exact"/>
        <w:jc w:val="both"/>
        <w:rPr>
          <w:rFonts w:ascii="Arial" w:hAnsi="Arial" w:cs="Arial"/>
          <w:sz w:val="22"/>
        </w:rPr>
      </w:pPr>
      <w:r w:rsidRPr="00671375">
        <w:rPr>
          <w:rFonts w:ascii="Arial" w:hAnsi="Arial" w:cs="Arial"/>
          <w:sz w:val="22"/>
        </w:rPr>
        <w:t xml:space="preserve">XK trong tháng 8 tăng 1%- tháng đầu tiên hiệp định có hiệu lực còn lúng túng trong việc thực hiện các thủ tục C/O ở cả hai đầu nước XK và nước NK, tháng 9 tăng 19%, tháng 10 tăng 20%, tháng 11 tăng 30% và dự kiến tháng 12 tiếp tục tăng 15%. </w:t>
      </w:r>
    </w:p>
    <w:p w:rsidR="002332EC" w:rsidRPr="00671375" w:rsidRDefault="002332EC" w:rsidP="002332EC">
      <w:pPr>
        <w:spacing w:before="120" w:after="0" w:line="320" w:lineRule="exact"/>
        <w:jc w:val="both"/>
        <w:rPr>
          <w:rFonts w:ascii="Arial" w:hAnsi="Arial" w:cs="Arial"/>
          <w:sz w:val="22"/>
        </w:rPr>
      </w:pPr>
      <w:r w:rsidRPr="00671375">
        <w:rPr>
          <w:rFonts w:ascii="Arial" w:hAnsi="Arial" w:cs="Arial"/>
          <w:sz w:val="22"/>
        </w:rPr>
        <w:t xml:space="preserve">Với sự hồi phục XK trong 4 tháng cuối năm, XK thủy sản Việt Nam sang EU (trừ Anh)  năm 2020 sẽ đạt khoảng 991 triệu USD, giảm nhẹ 2,5% so với năm 2019. Triển vọng năm 2021 khi các mặt hàng XK chính như cá tra, hải sản và tôm chế biến tiếp tục được giảm thuế thì XK thủy sản Việt Nam sang EU sẽ duy trì tăng trưởng tốt hơn những tháng cuối năm 2020. </w:t>
      </w:r>
    </w:p>
    <w:p w:rsidR="002332EC" w:rsidRDefault="002332EC" w:rsidP="002332EC">
      <w:pPr>
        <w:spacing w:before="120" w:after="0" w:line="320" w:lineRule="exact"/>
        <w:jc w:val="both"/>
        <w:rPr>
          <w:rFonts w:ascii="Arial" w:hAnsi="Arial" w:cs="Arial"/>
          <w:b/>
        </w:rPr>
      </w:pPr>
      <w:r w:rsidRPr="002332EC">
        <w:rPr>
          <w:rFonts w:ascii="Arial" w:hAnsi="Arial" w:cs="Arial"/>
          <w:b/>
        </w:rPr>
        <w:t>2.2. Brexit và FTA với Anh</w:t>
      </w:r>
    </w:p>
    <w:p w:rsidR="0084345C" w:rsidRPr="00671375" w:rsidRDefault="0084345C" w:rsidP="0084345C">
      <w:pPr>
        <w:spacing w:before="120" w:after="120" w:line="300" w:lineRule="exact"/>
        <w:jc w:val="both"/>
        <w:rPr>
          <w:rFonts w:ascii="Arial" w:hAnsi="Arial" w:cs="Arial"/>
          <w:sz w:val="22"/>
        </w:rPr>
      </w:pPr>
      <w:r w:rsidRPr="00671375">
        <w:rPr>
          <w:rFonts w:ascii="Arial" w:hAnsi="Arial" w:cs="Arial"/>
          <w:sz w:val="22"/>
        </w:rPr>
        <w:t xml:space="preserve">Chiều 11/12, tại Hà Nội, lễ ký biên bản kết thúc đàm phán Hiệp định thương mại tự do giữa Việt Nam và Vương quốc Anh (UKVFTA) đã thành công tốt đẹp. Hai nước sẽ tiến  tới việc ký kết chính thức Hiệp định nói trên. Khi hai nước đi đến ký kết chính thức, thì hiệp định FTA với Anh sẽ dựa trên cơ chế tiếp nối hiệp định EVFTA với các điều khoản tương tự như EVFTA. FTA với Anh sẽ mở thêm cơ hội cho thủy sản Việt Nam XK sang thị trường này bên cạnh sau khi EVFTA có hiệu lực đã tác động tích cực đến kết quả XK thủy sản của Việt Nam trong 4 tháng cuối năm 2020.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Từ tháng 2/2020, Anh chính thức ra khỏi EU và trở thành thị trường tiềm năng với thủy sản Việt Nam vì trong khi XK sang các nước thành viên EU đều giảm mạnh do tác động của dịch Covid thì XK sang thị trường này tăng trưởng cao.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Tính đến cuối tháng 9/2020, XK thủy sản sang Anh tăng gần 23% đạt gần 258 triệu USD, trong đó tôm và cá tra là 2 mặt hàng chủ đạo đều tăng (tăng lần lượt 19% và 27%) so với cùng kỳ năm ngoái. Ngoài ra, XK cá ngừ, các loại cá biển khác và cua ghẹ cũng tăng lần lượt 6%, 101% và 55%.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XK cá tra sang Anh có sự đột phá về cơ cấu sản phẩm, theo đó XK cá tra chế biến tăng đột biến gấp hơn 15 lần cùng kỳ năm ngoái đạt 16 triệu USD, chiếm 33% tổng XK cá tra, trong khi năm 2019 chỉ chiếm 3%.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Ngoài ra Anh cũng tăng mạnh NK các sản phẩm chế biến và đông lạnh như tôm chân trắng chế biến (tăng 33%), tôm sú chế biến tăng 456%, cua ghẹ đóng hộp tăng 61%, cá biến phile đông lạnh tăng 127%...</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Năm 2020, Anh cũng nằm trong top 10 thị trường NK thủy sản của Việt Nam với tỷ trọng trên 4%. Năm 2020 dù Anh đã ra khỏi EU, nhưng XK các sản phẩm thủy sản sang thị trường này vẫn được hưởng thuế theo cơ chế của hiệp định EVFTA đến hết 31/12/2020. Hiện nay, Anh đang có kế hoạch ký hiệp định thương mại tự do với các nước trong đó có Việt Nam. Nếu hai nước đạt được thỏa thuận thì hiệp </w:t>
      </w:r>
      <w:r w:rsidRPr="002332EC">
        <w:rPr>
          <w:rFonts w:ascii="Arial" w:eastAsia="Times New Roman" w:hAnsi="Arial" w:cs="Arial"/>
          <w:color w:val="050505"/>
          <w:sz w:val="22"/>
        </w:rPr>
        <w:lastRenderedPageBreak/>
        <w:t>định FTA với Anh sẽ dựa trên cơ chế tiếp nối hiệp định EVFTA với các điều khoản tương tự như EVFTA.</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Các thỏa thuận thương mại đang được đàm phán có thể giảm thuế đánh vào các sản phẩm được giao dịch và tạo lợi thế cho các nhà XK từ các nước có giao dịch thương mại.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Brexit rất cần được quan tâm vì một số lý do. Nếu Vương quốc Anh là thị trường chính của bạn và quốc gia của bạn chưa đàm phán thỏa thuận thương mại với Vương quốc Anh, một khi Brexit không đạt được thỏa thuận, các giao dịch hiện tại với Liên minh Châu Âu sẽ không thể tiếp tục. Ngoài ra, nếu đối thủ cạnh tranh của bạn thương lượng và có thỏa thuận mới với Vương quốc Anh, có thể sẽ giúp họ có lợi thế trong việc tiếp cận thị trường.</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Anh là 1 trong 7 nước NK nhiều thủy sản nhất trong khối EU, nhưng đồng thời cũng là nước XK đứng thứ 8 trong nội khối trong những năm qua với giá trị NK tăng từ 4,0 đến 4,5 tỷ USD trong 5 năm qua nhưng cũng XK thủy sản cũng tăng từ 2,0 đến 2,6 tỷ USD, trong đó riêng XK nội khối chiếm khoảng 1,6 – 1,9 tỷ USD (chiếm 70-80%).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Hiện nay, việc đánh bắt thủy sản của EU chủ yếu diễn ra ở vùng biển Vương quốc Anh và Anh tiết lộ rằng sau khi Brexit thành hiện thực vào đầu năm tới, Anh sẽ là một quốc gia ven biển mới độc lập, họ muốn kiểm soát vùng biển và cá của mình. Các nước EU và Anh đang cố gắng đi đến một thỏa thuận nghề cá hợp lý, tuy nhiên đó là vấn đề nhạy cảm không dễ đi đến sự thống nhất giữa Anh và các nước thành viên EU. </w:t>
      </w:r>
    </w:p>
    <w:p w:rsidR="002332EC" w:rsidRPr="002332EC" w:rsidRDefault="002332EC" w:rsidP="00BE7019">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Do vậy, trong tình huống EU và Anh không đến được sự thỏa thuận hợp lý, thì thương mại của Anh với nội khối EU sẽ khó khăn, đồng thời sản lượng khai thác của EU sẽ giảm mạnh. Khi đó, nhu cầu NK thủy sản của EU với các nước </w:t>
      </w:r>
      <w:r w:rsidR="0084345C" w:rsidRPr="00671375">
        <w:rPr>
          <w:rFonts w:ascii="Arial" w:eastAsia="Times New Roman" w:hAnsi="Arial" w:cs="Arial"/>
          <w:color w:val="050505"/>
          <w:sz w:val="22"/>
        </w:rPr>
        <w:t xml:space="preserve">ngoại </w:t>
      </w:r>
      <w:r w:rsidRPr="002332EC">
        <w:rPr>
          <w:rFonts w:ascii="Arial" w:eastAsia="Times New Roman" w:hAnsi="Arial" w:cs="Arial"/>
          <w:color w:val="050505"/>
          <w:sz w:val="22"/>
        </w:rPr>
        <w:t xml:space="preserve">khối sẽ tăng. Đó sẽ là cơ hội cho Việt Nam và các nước XK thủy sản gia tăng thị phần tại EU. </w:t>
      </w:r>
    </w:p>
    <w:p w:rsidR="002332EC" w:rsidRDefault="002332EC" w:rsidP="0084345C">
      <w:pPr>
        <w:shd w:val="clear" w:color="auto" w:fill="FFFFFF"/>
        <w:spacing w:before="120" w:after="120" w:line="300" w:lineRule="exact"/>
        <w:jc w:val="both"/>
        <w:rPr>
          <w:rFonts w:ascii="Arial" w:eastAsia="Times New Roman" w:hAnsi="Arial" w:cs="Arial"/>
          <w:color w:val="050505"/>
          <w:sz w:val="22"/>
        </w:rPr>
      </w:pPr>
      <w:r w:rsidRPr="002332EC">
        <w:rPr>
          <w:rFonts w:ascii="Arial" w:eastAsia="Times New Roman" w:hAnsi="Arial" w:cs="Arial"/>
          <w:color w:val="050505"/>
          <w:sz w:val="22"/>
        </w:rPr>
        <w:t xml:space="preserve">Đối với thị trường Anh, việc rút khỏi EU không ảnh hưởng đến thương mại với các nước ngoại khối EU vì chính sách thuế NK của Anh không thay đổi so với mức thuế của khối EU. Nhu cầu thủy sản của Anh được dự báo sẽ vẫn ổn định và có thể gia tăng đối với các sản phẩm thủy sản nuôi. </w:t>
      </w:r>
    </w:p>
    <w:p w:rsidR="00671375" w:rsidRDefault="00671375" w:rsidP="0084345C">
      <w:pPr>
        <w:shd w:val="clear" w:color="auto" w:fill="FFFFFF"/>
        <w:spacing w:before="120" w:after="120" w:line="300" w:lineRule="exact"/>
        <w:jc w:val="both"/>
        <w:rPr>
          <w:rFonts w:ascii="Arial" w:eastAsia="Times New Roman" w:hAnsi="Arial" w:cs="Arial"/>
          <w:b/>
          <w:color w:val="050505"/>
          <w:sz w:val="22"/>
        </w:rPr>
      </w:pPr>
      <w:r w:rsidRPr="00671375">
        <w:rPr>
          <w:rFonts w:ascii="Arial" w:eastAsia="Times New Roman" w:hAnsi="Arial" w:cs="Arial"/>
          <w:b/>
          <w:color w:val="050505"/>
          <w:sz w:val="22"/>
        </w:rPr>
        <w:t>2.3. CPTPP và các hiệp định khác</w:t>
      </w:r>
    </w:p>
    <w:p w:rsidR="00671375" w:rsidRPr="00671375" w:rsidRDefault="00671375" w:rsidP="0084345C">
      <w:pPr>
        <w:shd w:val="clear" w:color="auto" w:fill="FFFFFF"/>
        <w:spacing w:before="120" w:after="120" w:line="300" w:lineRule="exact"/>
        <w:jc w:val="both"/>
        <w:rPr>
          <w:rFonts w:ascii="Arial" w:hAnsi="Arial" w:cs="Arial"/>
          <w:sz w:val="22"/>
        </w:rPr>
      </w:pPr>
      <w:r w:rsidRPr="00671375">
        <w:rPr>
          <w:rFonts w:ascii="Arial" w:eastAsia="Times New Roman" w:hAnsi="Arial" w:cs="Arial"/>
          <w:color w:val="050505"/>
          <w:sz w:val="22"/>
        </w:rPr>
        <w:t xml:space="preserve">Ngoài EVFTA, hiệp định CPTPP và các FTA khác với các thị trường lớn như Hàn Quốc, Nhật Bản, ASEAN đều đang có tác động tốt đối với XK thủy sản của Việt Nam, góp phần nâng cao tính cạnh tranh cho sản phẩm thủy sản XK của Việt Nam. </w:t>
      </w:r>
    </w:p>
    <w:p w:rsidR="001669A6" w:rsidRDefault="001669A6" w:rsidP="00531918">
      <w:pPr>
        <w:spacing w:before="120" w:after="120" w:line="340" w:lineRule="exact"/>
        <w:jc w:val="both"/>
        <w:rPr>
          <w:rFonts w:ascii="Arial" w:hAnsi="Arial" w:cs="Arial"/>
          <w:b/>
        </w:rPr>
      </w:pPr>
      <w:r>
        <w:rPr>
          <w:rFonts w:ascii="Arial" w:hAnsi="Arial" w:cs="Arial"/>
          <w:b/>
        </w:rPr>
        <w:t xml:space="preserve">3. Các rào cản thị trường </w:t>
      </w:r>
    </w:p>
    <w:p w:rsidR="0084345C" w:rsidRPr="00671375" w:rsidRDefault="0084345C" w:rsidP="00531918">
      <w:pPr>
        <w:spacing w:before="120" w:after="120" w:line="340" w:lineRule="exact"/>
        <w:jc w:val="both"/>
        <w:rPr>
          <w:rFonts w:ascii="Arial" w:hAnsi="Arial" w:cs="Arial"/>
          <w:sz w:val="22"/>
        </w:rPr>
      </w:pPr>
      <w:r w:rsidRPr="00671375">
        <w:rPr>
          <w:rFonts w:ascii="Arial" w:hAnsi="Arial" w:cs="Arial"/>
          <w:sz w:val="22"/>
        </w:rPr>
        <w:t xml:space="preserve">Các rào cản như thuế chống bán phá giá tôm và cá tra tại thị trường Mỹ chưa có dấu hiệu sẽ được chấm dứt trong 5 năm tới. </w:t>
      </w:r>
    </w:p>
    <w:p w:rsidR="0084345C" w:rsidRPr="00671375" w:rsidRDefault="0084345C" w:rsidP="00531918">
      <w:pPr>
        <w:spacing w:before="120" w:after="120" w:line="340" w:lineRule="exact"/>
        <w:jc w:val="both"/>
        <w:rPr>
          <w:rFonts w:ascii="Arial" w:hAnsi="Arial" w:cs="Arial"/>
          <w:sz w:val="22"/>
        </w:rPr>
      </w:pPr>
      <w:r w:rsidRPr="00671375">
        <w:rPr>
          <w:rFonts w:ascii="Arial" w:hAnsi="Arial" w:cs="Arial"/>
          <w:sz w:val="22"/>
        </w:rPr>
        <w:t xml:space="preserve">Cũng như thẻ vàng IUU, trong bối cảnh thực tại, dù Chính phủ và các cơ quan quản lý ngành cũng như DN và cộng đồng ngư dân đang rất nỗ lực khắc phục nhưng khó có thể giải quyết nhanh một sớm một chiều. Việt Nam hy vọng EU ghi nhận những nỗ lực cải thiện để không phạt thẻ đỏ IUU đối với ngành khai thác và hải sản XK của Việt Nam. Khi đó, những ưu đãi từ EVFTA mới có thể phát huy tốt hiệu quả cho ngành thủy sản Việt Nam. </w:t>
      </w:r>
    </w:p>
    <w:p w:rsidR="0084345C" w:rsidRPr="00671375" w:rsidRDefault="0084345C" w:rsidP="00531918">
      <w:pPr>
        <w:spacing w:before="120" w:after="120" w:line="340" w:lineRule="exact"/>
        <w:jc w:val="both"/>
        <w:rPr>
          <w:rFonts w:ascii="Arial" w:hAnsi="Arial" w:cs="Arial"/>
          <w:sz w:val="22"/>
        </w:rPr>
      </w:pPr>
      <w:r w:rsidRPr="00671375">
        <w:rPr>
          <w:rFonts w:ascii="Arial" w:hAnsi="Arial" w:cs="Arial"/>
          <w:sz w:val="22"/>
        </w:rPr>
        <w:t xml:space="preserve">Thị trường Trung Quốc sẽ có nhu cầu NK thủy sản ngày càng tăng, nhưng đồng thời sẽ siết chặt kiểm tra thủy sản NK, nhất là sau khi xảy ra dịch Covid và Trung Quốc đã công bố có một số lô thủy sản NK từ một số nước có dấu vết virus corona trên bao bì sản phẩm. </w:t>
      </w:r>
    </w:p>
    <w:p w:rsidR="00671375" w:rsidRPr="00671375" w:rsidRDefault="00671375" w:rsidP="00531918">
      <w:pPr>
        <w:spacing w:before="120" w:after="120" w:line="340" w:lineRule="exact"/>
        <w:jc w:val="both"/>
        <w:rPr>
          <w:rFonts w:ascii="Arial" w:hAnsi="Arial" w:cs="Arial"/>
          <w:sz w:val="22"/>
        </w:rPr>
      </w:pPr>
      <w:r w:rsidRPr="00671375">
        <w:rPr>
          <w:rFonts w:ascii="Arial" w:hAnsi="Arial" w:cs="Arial"/>
          <w:sz w:val="22"/>
        </w:rPr>
        <w:lastRenderedPageBreak/>
        <w:t>Bên cạnh đó, xu hướng của các thị trường NK sẽ ngày càng quan tâm đến chất lượng VS và ATTP và yêu cầu ngày càng cao đối với sản phẩm có nguồn gốc xuất xứ và quy trình sản xuất bền vững, đảo bảo các tiêu chuẩn về lao động, về môi trường và an sinh xã hội…</w:t>
      </w:r>
    </w:p>
    <w:p w:rsidR="001669A6" w:rsidRPr="00F07097" w:rsidRDefault="001669A6" w:rsidP="00F07097">
      <w:pPr>
        <w:spacing w:before="120" w:after="120" w:line="300" w:lineRule="exact"/>
        <w:jc w:val="both"/>
        <w:rPr>
          <w:rFonts w:ascii="Arial" w:hAnsi="Arial" w:cs="Arial"/>
          <w:b/>
          <w:sz w:val="22"/>
        </w:rPr>
      </w:pPr>
      <w:r w:rsidRPr="00F07097">
        <w:rPr>
          <w:rFonts w:ascii="Arial" w:hAnsi="Arial" w:cs="Arial"/>
          <w:b/>
          <w:sz w:val="22"/>
        </w:rPr>
        <w:t>4.</w:t>
      </w:r>
      <w:r w:rsidR="00B70396" w:rsidRPr="00F07097">
        <w:rPr>
          <w:rFonts w:ascii="Arial" w:hAnsi="Arial" w:cs="Arial"/>
          <w:b/>
          <w:sz w:val="22"/>
        </w:rPr>
        <w:t xml:space="preserve"> Định hướng của </w:t>
      </w:r>
      <w:r w:rsidRPr="00F07097">
        <w:rPr>
          <w:rFonts w:ascii="Arial" w:hAnsi="Arial" w:cs="Arial"/>
          <w:b/>
          <w:sz w:val="22"/>
        </w:rPr>
        <w:t xml:space="preserve">Chính phủ </w:t>
      </w:r>
      <w:r w:rsidR="00B70396" w:rsidRPr="00F07097">
        <w:rPr>
          <w:rFonts w:ascii="Arial" w:hAnsi="Arial" w:cs="Arial"/>
          <w:b/>
          <w:sz w:val="22"/>
        </w:rPr>
        <w:t xml:space="preserve">tập trung tái cơ cấu ngành thủy sản, </w:t>
      </w:r>
      <w:r w:rsidR="00F07097" w:rsidRPr="00F07097">
        <w:rPr>
          <w:rFonts w:ascii="Arial" w:hAnsi="Arial" w:cs="Arial"/>
          <w:b/>
          <w:sz w:val="22"/>
        </w:rPr>
        <w:t>hướng tới chiến lược phát triển thủy sản Việt Nam đến năm 2030, tầm nhìn đến năm 2045 với mục tiêu phát triển thủy sản thành ngành sản xuất hàng hóa lớn, hiệu quả, có trách nhiệm, theo định chế quốc tế, hội nhập sâu rộng kinh tế toàn cầu.</w:t>
      </w:r>
    </w:p>
    <w:p w:rsidR="00F07097" w:rsidRPr="00F07097" w:rsidRDefault="00F07097" w:rsidP="00F07097">
      <w:pPr>
        <w:widowControl w:val="0"/>
        <w:spacing w:before="120" w:after="120" w:line="300" w:lineRule="exact"/>
        <w:jc w:val="both"/>
        <w:rPr>
          <w:rFonts w:ascii="Arial" w:hAnsi="Arial" w:cs="Arial"/>
          <w:spacing w:val="4"/>
          <w:sz w:val="22"/>
          <w:lang w:val="da-DK"/>
        </w:rPr>
      </w:pPr>
      <w:r w:rsidRPr="00F07097">
        <w:rPr>
          <w:rFonts w:ascii="Arial" w:hAnsi="Arial" w:cs="Arial"/>
          <w:spacing w:val="4"/>
          <w:sz w:val="22"/>
          <w:lang w:val="da-DK"/>
        </w:rPr>
        <w:t>Chiến lược sẽ đưa ra các chỉ tiêu đến năm 2030:  kinh tế thủy sản đóng góp 30% GDP khối nông-lâm-ngư nghiệp.Tổng sản lượng thủy sản sản xuất trong nước đạt 10 triệu tấn; trong đó sản lượng khai thác thủy sản khoảng 25-30%, sản lượng nuôi trồng thủy sản khoảng 70-75%. Giá trị kim ngạch xuất khẩu thủy sản đạt 18-20 tỷ USD. Ngành thủy sản giải quyết việc làm cho 3,5 triệu lao động....</w:t>
      </w:r>
    </w:p>
    <w:p w:rsidR="00F07097" w:rsidRPr="00F07097" w:rsidRDefault="00F07097" w:rsidP="00F07097">
      <w:pPr>
        <w:widowControl w:val="0"/>
        <w:spacing w:before="120" w:after="120" w:line="300" w:lineRule="exact"/>
        <w:jc w:val="both"/>
        <w:rPr>
          <w:rFonts w:ascii="Arial" w:hAnsi="Arial" w:cs="Arial"/>
          <w:spacing w:val="4"/>
          <w:sz w:val="22"/>
          <w:lang w:val="da-DK"/>
        </w:rPr>
      </w:pPr>
      <w:r w:rsidRPr="00F07097">
        <w:rPr>
          <w:rFonts w:ascii="Arial" w:hAnsi="Arial" w:cs="Arial"/>
          <w:spacing w:val="4"/>
          <w:sz w:val="22"/>
          <w:lang w:val="da-DK"/>
        </w:rPr>
        <w:t xml:space="preserve">Với những mục tiêu như trên, Chính phủ, Bộ NN sẽ có chiến lược, các chương trình, đề án thích hợp để hỗ trợ thúc đẩy sản xuất, XK thủy sản trong những năm tới. </w:t>
      </w:r>
    </w:p>
    <w:p w:rsidR="00F07097" w:rsidRDefault="00F07097" w:rsidP="00F07097">
      <w:pPr>
        <w:widowControl w:val="0"/>
        <w:spacing w:before="120" w:after="120" w:line="300" w:lineRule="exact"/>
        <w:jc w:val="both"/>
        <w:rPr>
          <w:rFonts w:ascii="Arial" w:hAnsi="Arial" w:cs="Arial"/>
          <w:b/>
          <w:spacing w:val="4"/>
          <w:sz w:val="22"/>
          <w:lang w:val="da-DK"/>
        </w:rPr>
      </w:pPr>
      <w:r w:rsidRPr="00F07097">
        <w:rPr>
          <w:rFonts w:ascii="Arial" w:hAnsi="Arial" w:cs="Arial"/>
          <w:b/>
          <w:spacing w:val="4"/>
          <w:sz w:val="22"/>
          <w:lang w:val="da-DK"/>
        </w:rPr>
        <w:t>5. Dự báo XK thủy sản 2021 – 2025</w:t>
      </w:r>
    </w:p>
    <w:p w:rsidR="005D08FE" w:rsidRDefault="00F07097" w:rsidP="00F07097">
      <w:pPr>
        <w:widowControl w:val="0"/>
        <w:spacing w:before="120" w:after="120" w:line="300" w:lineRule="exact"/>
        <w:jc w:val="both"/>
        <w:rPr>
          <w:rFonts w:ascii="Arial" w:hAnsi="Arial" w:cs="Arial"/>
          <w:spacing w:val="4"/>
          <w:sz w:val="22"/>
          <w:lang w:val="da-DK"/>
        </w:rPr>
      </w:pPr>
      <w:r w:rsidRPr="00E9120D">
        <w:rPr>
          <w:rFonts w:ascii="Arial" w:hAnsi="Arial" w:cs="Arial"/>
          <w:spacing w:val="4"/>
          <w:sz w:val="22"/>
          <w:lang w:val="da-DK"/>
        </w:rPr>
        <w:t xml:space="preserve">Với </w:t>
      </w:r>
      <w:r w:rsidR="005D08FE">
        <w:rPr>
          <w:rFonts w:ascii="Arial" w:hAnsi="Arial" w:cs="Arial"/>
          <w:spacing w:val="4"/>
          <w:sz w:val="22"/>
          <w:lang w:val="da-DK"/>
        </w:rPr>
        <w:t xml:space="preserve">những yếu tố </w:t>
      </w:r>
      <w:r w:rsidR="00E9120D" w:rsidRPr="00E9120D">
        <w:rPr>
          <w:rFonts w:ascii="Arial" w:hAnsi="Arial" w:cs="Arial"/>
          <w:spacing w:val="4"/>
          <w:sz w:val="22"/>
          <w:lang w:val="da-DK"/>
        </w:rPr>
        <w:t xml:space="preserve">tích cực từ những cơ hội Việt Nam có thể có và tận dụng được trong những năm tới, </w:t>
      </w:r>
      <w:r w:rsidR="005D08FE" w:rsidRPr="00E9120D">
        <w:rPr>
          <w:rFonts w:ascii="Arial" w:hAnsi="Arial" w:cs="Arial"/>
          <w:spacing w:val="4"/>
          <w:sz w:val="22"/>
          <w:lang w:val="da-DK"/>
        </w:rPr>
        <w:t xml:space="preserve">dự báo </w:t>
      </w:r>
      <w:r w:rsidR="00E9120D" w:rsidRPr="00E9120D">
        <w:rPr>
          <w:rFonts w:ascii="Arial" w:hAnsi="Arial" w:cs="Arial"/>
          <w:spacing w:val="4"/>
          <w:sz w:val="22"/>
          <w:lang w:val="da-DK"/>
        </w:rPr>
        <w:t>XK thủy sản Việt Nam</w:t>
      </w:r>
      <w:r w:rsidR="005D08FE">
        <w:rPr>
          <w:rFonts w:ascii="Arial" w:hAnsi="Arial" w:cs="Arial"/>
          <w:spacing w:val="4"/>
          <w:sz w:val="22"/>
          <w:lang w:val="da-DK"/>
        </w:rPr>
        <w:t xml:space="preserve"> năm 2021</w:t>
      </w:r>
      <w:r w:rsidR="00B14EE8">
        <w:rPr>
          <w:rFonts w:ascii="Arial" w:hAnsi="Arial" w:cs="Arial"/>
          <w:spacing w:val="4"/>
          <w:sz w:val="22"/>
          <w:lang w:val="da-DK"/>
        </w:rPr>
        <w:t xml:space="preserve"> sẽ tăng 10% đạt trên 9,4 tỷ USD, trong đó XK tôm vẫn có mức tăng trưởng mạnh nhất: tăng 15% đạt 4,4 tỷ USD, cá tra sẽ hồi phục với mức tăng 5% đạt khoảng 1,6 tỷ USD, XK các mặt hàng hải sản dự báo sẽ tăng 6% đạt 3,4 tỷ USD.</w:t>
      </w:r>
    </w:p>
    <w:p w:rsidR="00F07097" w:rsidRPr="00E9120D" w:rsidRDefault="009672D2" w:rsidP="00F07097">
      <w:pPr>
        <w:widowControl w:val="0"/>
        <w:spacing w:before="120" w:after="120" w:line="300" w:lineRule="exact"/>
        <w:jc w:val="both"/>
        <w:rPr>
          <w:rFonts w:ascii="Arial" w:hAnsi="Arial" w:cs="Arial"/>
          <w:spacing w:val="4"/>
          <w:sz w:val="22"/>
          <w:lang w:val="da-DK"/>
        </w:rPr>
      </w:pPr>
      <w:r>
        <w:rPr>
          <w:rFonts w:ascii="Arial" w:hAnsi="Arial" w:cs="Arial"/>
          <w:spacing w:val="4"/>
          <w:sz w:val="22"/>
          <w:lang w:val="da-DK"/>
        </w:rPr>
        <w:t>T</w:t>
      </w:r>
      <w:r w:rsidR="00E9120D" w:rsidRPr="00E9120D">
        <w:rPr>
          <w:rFonts w:ascii="Arial" w:hAnsi="Arial" w:cs="Arial"/>
          <w:spacing w:val="4"/>
          <w:sz w:val="22"/>
          <w:lang w:val="da-DK"/>
        </w:rPr>
        <w:t xml:space="preserve">rong 5 năm tới </w:t>
      </w:r>
      <w:r>
        <w:rPr>
          <w:rFonts w:ascii="Arial" w:hAnsi="Arial" w:cs="Arial"/>
          <w:spacing w:val="4"/>
          <w:sz w:val="22"/>
          <w:lang w:val="da-DK"/>
        </w:rPr>
        <w:t xml:space="preserve">XK thủy sản của Việt Nam </w:t>
      </w:r>
      <w:r w:rsidR="00E9120D" w:rsidRPr="00E9120D">
        <w:rPr>
          <w:rFonts w:ascii="Arial" w:hAnsi="Arial" w:cs="Arial"/>
          <w:spacing w:val="4"/>
          <w:sz w:val="22"/>
          <w:lang w:val="da-DK"/>
        </w:rPr>
        <w:t>có thể sẽ đạt tăng trưởng trung bình 7-7,5%</w:t>
      </w:r>
      <w:r>
        <w:rPr>
          <w:rFonts w:ascii="Arial" w:hAnsi="Arial" w:cs="Arial"/>
          <w:spacing w:val="4"/>
          <w:sz w:val="22"/>
          <w:lang w:val="da-DK"/>
        </w:rPr>
        <w:t>, theo đó</w:t>
      </w:r>
      <w:r w:rsidR="00E9120D" w:rsidRPr="00E9120D">
        <w:rPr>
          <w:rFonts w:ascii="Arial" w:hAnsi="Arial" w:cs="Arial"/>
          <w:spacing w:val="4"/>
          <w:sz w:val="22"/>
          <w:lang w:val="da-DK"/>
        </w:rPr>
        <w:t xml:space="preserve"> đến năm 2025 có thể cán đích với mức trên 12 tỷ USD, tăng 40% so với năm 2020. </w:t>
      </w:r>
    </w:p>
    <w:p w:rsidR="00F07097" w:rsidRPr="00F07097" w:rsidRDefault="00F07097" w:rsidP="00F07097">
      <w:pPr>
        <w:widowControl w:val="0"/>
        <w:spacing w:before="100" w:after="100" w:line="240" w:lineRule="auto"/>
        <w:jc w:val="both"/>
        <w:rPr>
          <w:rFonts w:cs="Times New Roman"/>
          <w:b/>
          <w:spacing w:val="4"/>
          <w:sz w:val="28"/>
          <w:szCs w:val="28"/>
          <w:lang w:val="da-DK"/>
        </w:rPr>
      </w:pPr>
    </w:p>
    <w:tbl>
      <w:tblPr>
        <w:tblStyle w:val="TableGrid"/>
        <w:tblW w:w="5000" w:type="pct"/>
        <w:tblInd w:w="378" w:type="dxa"/>
        <w:tblLook w:val="04A0" w:firstRow="1" w:lastRow="0" w:firstColumn="1" w:lastColumn="0" w:noHBand="0" w:noVBand="1"/>
      </w:tblPr>
      <w:tblGrid>
        <w:gridCol w:w="2750"/>
        <w:gridCol w:w="1524"/>
        <w:gridCol w:w="1647"/>
        <w:gridCol w:w="1384"/>
        <w:gridCol w:w="2946"/>
      </w:tblGrid>
      <w:tr w:rsidR="00B14EE8" w:rsidRPr="005D08FE" w:rsidTr="00B4147B">
        <w:trPr>
          <w:trHeight w:val="548"/>
        </w:trPr>
        <w:tc>
          <w:tcPr>
            <w:tcW w:w="5000" w:type="pct"/>
            <w:gridSpan w:val="5"/>
            <w:shd w:val="clear" w:color="auto" w:fill="D9E2F3" w:themeFill="accent5" w:themeFillTint="33"/>
            <w:noWrap/>
            <w:hideMark/>
          </w:tcPr>
          <w:p w:rsidR="00B14EE8" w:rsidRPr="00B14EE8" w:rsidRDefault="00B14EE8" w:rsidP="00B14EE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Dự báo XK thủy sản năm 2021 (triệu USD)</w:t>
            </w:r>
          </w:p>
        </w:tc>
      </w:tr>
      <w:tr w:rsidR="005D08FE" w:rsidRPr="005D08FE" w:rsidTr="00B4147B">
        <w:trPr>
          <w:trHeight w:val="710"/>
        </w:trPr>
        <w:tc>
          <w:tcPr>
            <w:tcW w:w="1356" w:type="pct"/>
            <w:shd w:val="clear" w:color="auto" w:fill="D9E2F3" w:themeFill="accent5" w:themeFillTint="33"/>
            <w:noWrap/>
            <w:hideMark/>
          </w:tcPr>
          <w:p w:rsidR="005D08FE" w:rsidRPr="005D08FE" w:rsidRDefault="005D08FE"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 xml:space="preserve">Sản phẩm </w:t>
            </w:r>
          </w:p>
        </w:tc>
        <w:tc>
          <w:tcPr>
            <w:tcW w:w="758" w:type="pct"/>
            <w:shd w:val="clear" w:color="auto" w:fill="D9E2F3" w:themeFill="accent5" w:themeFillTint="33"/>
            <w:hideMark/>
          </w:tcPr>
          <w:p w:rsidR="005D08FE" w:rsidRPr="005D08FE" w:rsidRDefault="005D08FE" w:rsidP="005D08FE">
            <w:pPr>
              <w:jc w:val="cente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2020 (ước)</w:t>
            </w:r>
          </w:p>
        </w:tc>
        <w:tc>
          <w:tcPr>
            <w:tcW w:w="818" w:type="pct"/>
            <w:shd w:val="clear" w:color="auto" w:fill="D9E2F3" w:themeFill="accent5" w:themeFillTint="33"/>
            <w:hideMark/>
          </w:tcPr>
          <w:p w:rsidR="005D08FE" w:rsidRPr="005D08FE" w:rsidRDefault="005D08FE" w:rsidP="005D08FE">
            <w:pPr>
              <w:jc w:val="cente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 xml:space="preserve">Tăng trưởng so với 2019 (%) </w:t>
            </w:r>
          </w:p>
        </w:tc>
        <w:tc>
          <w:tcPr>
            <w:tcW w:w="689" w:type="pct"/>
            <w:shd w:val="clear" w:color="auto" w:fill="D9E2F3" w:themeFill="accent5" w:themeFillTint="33"/>
            <w:noWrap/>
            <w:hideMark/>
          </w:tcPr>
          <w:p w:rsidR="00B14EE8" w:rsidRDefault="00B14EE8" w:rsidP="00B14EE8">
            <w:pPr>
              <w:tabs>
                <w:tab w:val="left" w:pos="840"/>
              </w:tabs>
              <w:rPr>
                <w:rFonts w:ascii="Calibri" w:eastAsia="Times New Roman" w:hAnsi="Calibri" w:cs="Times New Roman"/>
                <w:b/>
                <w:color w:val="000000"/>
                <w:sz w:val="22"/>
              </w:rPr>
            </w:pPr>
            <w:r w:rsidRPr="00B14EE8">
              <w:rPr>
                <w:rFonts w:ascii="Calibri" w:eastAsia="Times New Roman" w:hAnsi="Calibri" w:cs="Times New Roman"/>
                <w:b/>
                <w:color w:val="000000"/>
                <w:sz w:val="22"/>
              </w:rPr>
              <w:t>2021</w:t>
            </w:r>
            <w:r>
              <w:rPr>
                <w:rFonts w:ascii="Calibri" w:eastAsia="Times New Roman" w:hAnsi="Calibri" w:cs="Times New Roman"/>
                <w:b/>
                <w:color w:val="000000"/>
                <w:sz w:val="22"/>
              </w:rPr>
              <w:tab/>
            </w:r>
          </w:p>
          <w:p w:rsidR="005D08FE" w:rsidRPr="00B14EE8" w:rsidRDefault="00B14EE8" w:rsidP="00B14EE8">
            <w:pPr>
              <w:tabs>
                <w:tab w:val="left" w:pos="840"/>
              </w:tabs>
              <w:rPr>
                <w:rFonts w:ascii="Calibri" w:eastAsia="Times New Roman" w:hAnsi="Calibri" w:cs="Times New Roman"/>
                <w:b/>
                <w:color w:val="000000"/>
                <w:sz w:val="22"/>
              </w:rPr>
            </w:pPr>
            <w:r>
              <w:rPr>
                <w:rFonts w:ascii="Calibri" w:eastAsia="Times New Roman" w:hAnsi="Calibri" w:cs="Times New Roman"/>
                <w:b/>
                <w:color w:val="000000"/>
                <w:sz w:val="22"/>
              </w:rPr>
              <w:t xml:space="preserve">(dự báo) </w:t>
            </w:r>
          </w:p>
        </w:tc>
        <w:tc>
          <w:tcPr>
            <w:tcW w:w="1379" w:type="pct"/>
            <w:shd w:val="clear" w:color="auto" w:fill="D9E2F3" w:themeFill="accent5" w:themeFillTint="33"/>
            <w:noWrap/>
            <w:hideMark/>
          </w:tcPr>
          <w:p w:rsidR="005D08FE" w:rsidRPr="00B14EE8" w:rsidRDefault="00B14EE8" w:rsidP="00B14EE8">
            <w:pPr>
              <w:rPr>
                <w:rFonts w:ascii="Calibri" w:eastAsia="Times New Roman" w:hAnsi="Calibri" w:cs="Times New Roman"/>
                <w:b/>
                <w:color w:val="000000"/>
                <w:sz w:val="22"/>
              </w:rPr>
            </w:pPr>
            <w:r w:rsidRPr="00B14EE8">
              <w:rPr>
                <w:rFonts w:ascii="Arial" w:eastAsia="Times New Roman" w:hAnsi="Arial" w:cs="Arial"/>
                <w:b/>
                <w:bCs/>
                <w:color w:val="000000"/>
                <w:sz w:val="20"/>
                <w:szCs w:val="20"/>
              </w:rPr>
              <w:t>Tăng trưởng so với 2020 (%)</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 xml:space="preserve">Tôm </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3.850,5</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14,5</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4.428,0</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15</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Cá tra</w:t>
            </w:r>
          </w:p>
        </w:tc>
        <w:tc>
          <w:tcPr>
            <w:tcW w:w="758" w:type="pct"/>
            <w:noWrap/>
            <w:hideMark/>
          </w:tcPr>
          <w:p w:rsidR="00B14EE8" w:rsidRPr="00E203A1" w:rsidRDefault="00B14EE8" w:rsidP="00167261">
            <w:pPr>
              <w:jc w:val="right"/>
              <w:rPr>
                <w:rFonts w:ascii="Arial" w:eastAsia="Times New Roman" w:hAnsi="Arial" w:cs="Arial"/>
                <w:color w:val="000000"/>
                <w:sz w:val="20"/>
                <w:szCs w:val="20"/>
              </w:rPr>
            </w:pPr>
            <w:r w:rsidRPr="00E203A1">
              <w:rPr>
                <w:rFonts w:ascii="Arial" w:eastAsia="Times New Roman" w:hAnsi="Arial" w:cs="Arial"/>
                <w:color w:val="000000"/>
                <w:sz w:val="20"/>
                <w:szCs w:val="20"/>
              </w:rPr>
              <w:t>1</w:t>
            </w:r>
            <w:r>
              <w:rPr>
                <w:rFonts w:ascii="Arial" w:eastAsia="Times New Roman" w:hAnsi="Arial" w:cs="Arial"/>
                <w:color w:val="000000"/>
                <w:sz w:val="20"/>
                <w:szCs w:val="20"/>
              </w:rPr>
              <w:t>.</w:t>
            </w:r>
            <w:r w:rsidRPr="00E203A1">
              <w:rPr>
                <w:rFonts w:ascii="Arial" w:eastAsia="Times New Roman" w:hAnsi="Arial" w:cs="Arial"/>
                <w:color w:val="000000"/>
                <w:sz w:val="20"/>
                <w:szCs w:val="20"/>
              </w:rPr>
              <w:t>543,6</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-23,0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1.620,8</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5</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Cá ngừ</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661,9</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-8,0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695,0</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5</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Mực, BT</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565,1</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-2,0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582</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3</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NTHMV</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97,4</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4,0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1.051,1</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8</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Cua, ghẹ</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174,5</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30,0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2.320,1</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3</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 xml:space="preserve">Surimi </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322,6</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-5,8</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3.290,5</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2</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000000"/>
                <w:sz w:val="20"/>
                <w:szCs w:val="20"/>
              </w:rPr>
            </w:pPr>
            <w:r w:rsidRPr="005D08FE">
              <w:rPr>
                <w:rFonts w:ascii="Arial" w:eastAsia="Times New Roman" w:hAnsi="Arial" w:cs="Arial"/>
                <w:b/>
                <w:bCs/>
                <w:color w:val="000000"/>
                <w:sz w:val="20"/>
                <w:szCs w:val="20"/>
              </w:rPr>
              <w:t>Cá biển và hải sản khác</w:t>
            </w:r>
          </w:p>
        </w:tc>
        <w:tc>
          <w:tcPr>
            <w:tcW w:w="758" w:type="pct"/>
            <w:noWrap/>
            <w:hideMark/>
          </w:tcPr>
          <w:p w:rsidR="00B14EE8" w:rsidRPr="00E203A1" w:rsidRDefault="00B14EE8" w:rsidP="00167261">
            <w:pPr>
              <w:jc w:val="right"/>
              <w:rPr>
                <w:rFonts w:ascii="Arial" w:eastAsia="Times New Roman" w:hAnsi="Arial" w:cs="Arial"/>
                <w:b/>
                <w:color w:val="000000"/>
                <w:sz w:val="20"/>
                <w:szCs w:val="20"/>
              </w:rPr>
            </w:pPr>
            <w:r w:rsidRPr="00E203A1">
              <w:rPr>
                <w:rFonts w:ascii="Arial" w:eastAsia="Times New Roman" w:hAnsi="Arial" w:cs="Arial"/>
                <w:b/>
                <w:color w:val="000000"/>
                <w:sz w:val="20"/>
                <w:szCs w:val="20"/>
              </w:rPr>
              <w:t>1.371,5</w:t>
            </w:r>
          </w:p>
        </w:tc>
        <w:tc>
          <w:tcPr>
            <w:tcW w:w="818" w:type="pct"/>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1,0</w:t>
            </w:r>
          </w:p>
        </w:tc>
        <w:tc>
          <w:tcPr>
            <w:tcW w:w="689" w:type="pct"/>
            <w:noWrap/>
            <w:hideMark/>
          </w:tcPr>
          <w:p w:rsidR="00B14EE8" w:rsidRPr="00B14EE8" w:rsidRDefault="00B14EE8" w:rsidP="00B14EE8">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1.453,8</w:t>
            </w:r>
          </w:p>
        </w:tc>
        <w:tc>
          <w:tcPr>
            <w:tcW w:w="1379" w:type="pct"/>
            <w:noWrap/>
            <w:hideMark/>
          </w:tcPr>
          <w:p w:rsidR="00B14EE8" w:rsidRPr="00B14EE8" w:rsidRDefault="00B14EE8" w:rsidP="005D08FE">
            <w:pPr>
              <w:jc w:val="right"/>
              <w:rPr>
                <w:rFonts w:ascii="Arial" w:eastAsia="Times New Roman" w:hAnsi="Arial" w:cs="Arial"/>
                <w:b/>
                <w:color w:val="000000"/>
                <w:sz w:val="20"/>
                <w:szCs w:val="20"/>
              </w:rPr>
            </w:pPr>
            <w:r w:rsidRPr="00B14EE8">
              <w:rPr>
                <w:rFonts w:ascii="Arial" w:eastAsia="Times New Roman" w:hAnsi="Arial" w:cs="Arial"/>
                <w:b/>
                <w:color w:val="000000"/>
                <w:sz w:val="20"/>
                <w:szCs w:val="20"/>
              </w:rPr>
              <w:t>6</w:t>
            </w:r>
          </w:p>
        </w:tc>
      </w:tr>
      <w:tr w:rsidR="00B14EE8" w:rsidRPr="005D08FE" w:rsidTr="00B4147B">
        <w:trPr>
          <w:trHeight w:val="315"/>
        </w:trPr>
        <w:tc>
          <w:tcPr>
            <w:tcW w:w="1356" w:type="pct"/>
            <w:noWrap/>
            <w:hideMark/>
          </w:tcPr>
          <w:p w:rsidR="00B14EE8" w:rsidRPr="005D08FE" w:rsidRDefault="00B14EE8" w:rsidP="005D08FE">
            <w:pPr>
              <w:rPr>
                <w:rFonts w:ascii="Arial" w:eastAsia="Times New Roman" w:hAnsi="Arial" w:cs="Arial"/>
                <w:b/>
                <w:bCs/>
                <w:color w:val="FF0000"/>
                <w:sz w:val="20"/>
                <w:szCs w:val="20"/>
              </w:rPr>
            </w:pPr>
            <w:r w:rsidRPr="005D08FE">
              <w:rPr>
                <w:rFonts w:ascii="Arial" w:eastAsia="Times New Roman" w:hAnsi="Arial" w:cs="Arial"/>
                <w:b/>
                <w:bCs/>
                <w:color w:val="FF0000"/>
                <w:sz w:val="20"/>
                <w:szCs w:val="20"/>
              </w:rPr>
              <w:t xml:space="preserve">Tổng </w:t>
            </w:r>
          </w:p>
        </w:tc>
        <w:tc>
          <w:tcPr>
            <w:tcW w:w="758" w:type="pct"/>
            <w:noWrap/>
            <w:hideMark/>
          </w:tcPr>
          <w:p w:rsidR="00B14EE8" w:rsidRPr="00E203A1" w:rsidRDefault="00B14EE8" w:rsidP="00167261">
            <w:pPr>
              <w:jc w:val="right"/>
              <w:rPr>
                <w:rFonts w:ascii="Arial" w:eastAsia="Times New Roman" w:hAnsi="Arial" w:cs="Arial"/>
                <w:b/>
                <w:color w:val="FF0000"/>
                <w:sz w:val="20"/>
                <w:szCs w:val="20"/>
              </w:rPr>
            </w:pPr>
            <w:r w:rsidRPr="00E203A1">
              <w:rPr>
                <w:rFonts w:ascii="Arial" w:eastAsia="Times New Roman" w:hAnsi="Arial" w:cs="Arial"/>
                <w:b/>
                <w:color w:val="FF0000"/>
                <w:sz w:val="20"/>
                <w:szCs w:val="20"/>
              </w:rPr>
              <w:t>8.587,1</w:t>
            </w:r>
          </w:p>
        </w:tc>
        <w:tc>
          <w:tcPr>
            <w:tcW w:w="818" w:type="pct"/>
            <w:hideMark/>
          </w:tcPr>
          <w:p w:rsidR="00B14EE8" w:rsidRPr="005D08FE" w:rsidRDefault="00B14EE8" w:rsidP="005D08FE">
            <w:pPr>
              <w:jc w:val="right"/>
              <w:rPr>
                <w:rFonts w:ascii="Arial" w:eastAsia="Times New Roman" w:hAnsi="Arial" w:cs="Arial"/>
                <w:b/>
                <w:bCs/>
                <w:color w:val="FF0000"/>
                <w:sz w:val="20"/>
                <w:szCs w:val="20"/>
              </w:rPr>
            </w:pPr>
            <w:r w:rsidRPr="005D08FE">
              <w:rPr>
                <w:rFonts w:ascii="Arial" w:eastAsia="Times New Roman" w:hAnsi="Arial" w:cs="Arial"/>
                <w:b/>
                <w:bCs/>
                <w:color w:val="FF0000"/>
                <w:sz w:val="20"/>
                <w:szCs w:val="20"/>
              </w:rPr>
              <w:t>0,0</w:t>
            </w:r>
          </w:p>
        </w:tc>
        <w:tc>
          <w:tcPr>
            <w:tcW w:w="689" w:type="pct"/>
            <w:noWrap/>
            <w:hideMark/>
          </w:tcPr>
          <w:p w:rsidR="00B14EE8" w:rsidRPr="00B14EE8" w:rsidRDefault="00B14EE8" w:rsidP="00B14EE8">
            <w:pPr>
              <w:jc w:val="right"/>
              <w:rPr>
                <w:rFonts w:ascii="Arial" w:eastAsia="Times New Roman" w:hAnsi="Arial" w:cs="Arial"/>
                <w:b/>
                <w:color w:val="FF0000"/>
                <w:sz w:val="20"/>
                <w:szCs w:val="20"/>
              </w:rPr>
            </w:pPr>
            <w:r w:rsidRPr="00B14EE8">
              <w:rPr>
                <w:rFonts w:ascii="Arial" w:eastAsia="Times New Roman" w:hAnsi="Arial" w:cs="Arial"/>
                <w:b/>
                <w:color w:val="FF0000"/>
                <w:sz w:val="20"/>
                <w:szCs w:val="20"/>
              </w:rPr>
              <w:t>9.446</w:t>
            </w:r>
          </w:p>
        </w:tc>
        <w:tc>
          <w:tcPr>
            <w:tcW w:w="1379" w:type="pct"/>
            <w:noWrap/>
            <w:hideMark/>
          </w:tcPr>
          <w:p w:rsidR="00B14EE8" w:rsidRPr="00B14EE8" w:rsidRDefault="00B14EE8" w:rsidP="005D08FE">
            <w:pPr>
              <w:jc w:val="right"/>
              <w:rPr>
                <w:rFonts w:ascii="Arial" w:eastAsia="Times New Roman" w:hAnsi="Arial" w:cs="Arial"/>
                <w:b/>
                <w:color w:val="FF0000"/>
                <w:sz w:val="20"/>
                <w:szCs w:val="20"/>
              </w:rPr>
            </w:pPr>
            <w:r w:rsidRPr="00B14EE8">
              <w:rPr>
                <w:rFonts w:ascii="Arial" w:eastAsia="Times New Roman" w:hAnsi="Arial" w:cs="Arial"/>
                <w:b/>
                <w:color w:val="FF0000"/>
                <w:sz w:val="20"/>
                <w:szCs w:val="20"/>
              </w:rPr>
              <w:t>10</w:t>
            </w:r>
          </w:p>
        </w:tc>
      </w:tr>
    </w:tbl>
    <w:p w:rsidR="00F07097" w:rsidRPr="0012067E" w:rsidRDefault="00F07097" w:rsidP="005D08FE">
      <w:pPr>
        <w:widowControl w:val="0"/>
        <w:spacing w:before="100" w:after="100" w:line="240" w:lineRule="auto"/>
        <w:ind w:firstLine="720"/>
        <w:jc w:val="both"/>
        <w:rPr>
          <w:rFonts w:cs="Times New Roman"/>
          <w:spacing w:val="4"/>
          <w:sz w:val="28"/>
          <w:szCs w:val="28"/>
          <w:lang w:val="da-DK"/>
        </w:rPr>
      </w:pPr>
    </w:p>
    <w:p w:rsidR="00F07097" w:rsidRPr="00E203A1" w:rsidRDefault="00F07097" w:rsidP="00531918">
      <w:pPr>
        <w:spacing w:before="120" w:after="120" w:line="340" w:lineRule="exact"/>
        <w:jc w:val="both"/>
        <w:rPr>
          <w:rFonts w:ascii="Arial" w:hAnsi="Arial" w:cs="Arial"/>
          <w:b/>
        </w:rPr>
      </w:pPr>
    </w:p>
    <w:sectPr w:rsidR="00F07097" w:rsidRPr="00E203A1" w:rsidSect="00B4147B">
      <w:headerReference w:type="default" r:id="rId11"/>
      <w:footerReference w:type="default" r:id="rId12"/>
      <w:pgSz w:w="11907" w:h="16840" w:code="9"/>
      <w:pgMar w:top="864" w:right="864"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59" w:rsidRDefault="008C6959" w:rsidP="00D6000E">
      <w:pPr>
        <w:spacing w:after="0" w:line="240" w:lineRule="auto"/>
      </w:pPr>
      <w:r>
        <w:separator/>
      </w:r>
    </w:p>
  </w:endnote>
  <w:endnote w:type="continuationSeparator" w:id="0">
    <w:p w:rsidR="008C6959" w:rsidRDefault="008C6959" w:rsidP="00D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57430"/>
      <w:docPartObj>
        <w:docPartGallery w:val="Page Numbers (Bottom of Page)"/>
        <w:docPartUnique/>
      </w:docPartObj>
    </w:sdtPr>
    <w:sdtEndPr>
      <w:rPr>
        <w:noProof/>
      </w:rPr>
    </w:sdtEndPr>
    <w:sdtContent>
      <w:p w:rsidR="00167261" w:rsidRDefault="008C6959">
        <w:pPr>
          <w:pStyle w:val="Footer"/>
          <w:jc w:val="right"/>
        </w:pPr>
        <w:r>
          <w:fldChar w:fldCharType="begin"/>
        </w:r>
        <w:r>
          <w:instrText xml:space="preserve"> PAGE   \* MERGEFORMAT </w:instrText>
        </w:r>
        <w:r>
          <w:fldChar w:fldCharType="separate"/>
        </w:r>
        <w:r w:rsidR="00D4767B">
          <w:rPr>
            <w:noProof/>
          </w:rPr>
          <w:t>12</w:t>
        </w:r>
        <w:r>
          <w:rPr>
            <w:noProof/>
          </w:rPr>
          <w:fldChar w:fldCharType="end"/>
        </w:r>
      </w:p>
    </w:sdtContent>
  </w:sdt>
  <w:p w:rsidR="00167261" w:rsidRDefault="001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59" w:rsidRDefault="008C6959" w:rsidP="00D6000E">
      <w:pPr>
        <w:spacing w:after="0" w:line="240" w:lineRule="auto"/>
      </w:pPr>
      <w:r>
        <w:separator/>
      </w:r>
    </w:p>
  </w:footnote>
  <w:footnote w:type="continuationSeparator" w:id="0">
    <w:p w:rsidR="008C6959" w:rsidRDefault="008C6959" w:rsidP="00D60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61" w:rsidRDefault="008C6959">
    <w:pPr>
      <w:pStyle w:val="Header"/>
    </w:pPr>
    <w:r>
      <w:rPr>
        <w:noProof/>
      </w:rPr>
      <w:pict>
        <v:rect id="Rectangle 197" o:spid="_x0000_s2049" style="position:absolute;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67261" w:rsidRDefault="00167261">
                    <w:pPr>
                      <w:pStyle w:val="Header"/>
                      <w:tabs>
                        <w:tab w:val="clear" w:pos="4680"/>
                        <w:tab w:val="clear" w:pos="9360"/>
                      </w:tabs>
                      <w:jc w:val="center"/>
                      <w:rPr>
                        <w:caps/>
                        <w:color w:val="FFFFFF" w:themeColor="background1"/>
                      </w:rPr>
                    </w:pPr>
                    <w:r>
                      <w:rPr>
                        <w:caps/>
                        <w:color w:val="FFFFFF" w:themeColor="background1"/>
                      </w:rPr>
                      <w:t>b</w:t>
                    </w:r>
                    <w:r>
                      <w:rPr>
                        <w:color w:val="FFFFFF" w:themeColor="background1"/>
                      </w:rPr>
                      <w:t>áo cáo Xuất khẩu Thủy sản Việt Nam năm 2015 - 2020</w:t>
                    </w:r>
                  </w:p>
                </w:sdtContent>
              </w:sdt>
            </w:txbxContent>
          </v:textbox>
          <w10:wrap type="square" anchorx="margin"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707C"/>
    <w:multiLevelType w:val="hybridMultilevel"/>
    <w:tmpl w:val="DDFC8A12"/>
    <w:lvl w:ilvl="0" w:tplc="40B23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A1B97"/>
    <w:multiLevelType w:val="hybridMultilevel"/>
    <w:tmpl w:val="71A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77922"/>
    <w:multiLevelType w:val="hybridMultilevel"/>
    <w:tmpl w:val="DA6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F469D"/>
    <w:multiLevelType w:val="hybridMultilevel"/>
    <w:tmpl w:val="F88C98AE"/>
    <w:lvl w:ilvl="0" w:tplc="B560C5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B5793"/>
    <w:multiLevelType w:val="hybridMultilevel"/>
    <w:tmpl w:val="F58CAB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00E"/>
    <w:rsid w:val="000B6C7E"/>
    <w:rsid w:val="00153A6A"/>
    <w:rsid w:val="001669A6"/>
    <w:rsid w:val="00167261"/>
    <w:rsid w:val="002332EC"/>
    <w:rsid w:val="002B253E"/>
    <w:rsid w:val="00322CCF"/>
    <w:rsid w:val="00330BD1"/>
    <w:rsid w:val="003318D7"/>
    <w:rsid w:val="00393EC2"/>
    <w:rsid w:val="0051229D"/>
    <w:rsid w:val="00527979"/>
    <w:rsid w:val="00531918"/>
    <w:rsid w:val="00557996"/>
    <w:rsid w:val="005A25CF"/>
    <w:rsid w:val="005D08FE"/>
    <w:rsid w:val="00671375"/>
    <w:rsid w:val="006C2EB0"/>
    <w:rsid w:val="00795E68"/>
    <w:rsid w:val="008307B2"/>
    <w:rsid w:val="0084345C"/>
    <w:rsid w:val="008803B7"/>
    <w:rsid w:val="008C6959"/>
    <w:rsid w:val="00916EAF"/>
    <w:rsid w:val="0094696E"/>
    <w:rsid w:val="009672D2"/>
    <w:rsid w:val="00985831"/>
    <w:rsid w:val="009F10DE"/>
    <w:rsid w:val="00AD7CC3"/>
    <w:rsid w:val="00B14EE8"/>
    <w:rsid w:val="00B4147B"/>
    <w:rsid w:val="00B70396"/>
    <w:rsid w:val="00BA03F3"/>
    <w:rsid w:val="00BC5F18"/>
    <w:rsid w:val="00BE7019"/>
    <w:rsid w:val="00C95257"/>
    <w:rsid w:val="00D4767B"/>
    <w:rsid w:val="00D6000E"/>
    <w:rsid w:val="00DF4E04"/>
    <w:rsid w:val="00E1723B"/>
    <w:rsid w:val="00E203A1"/>
    <w:rsid w:val="00E9120D"/>
    <w:rsid w:val="00F07097"/>
    <w:rsid w:val="00F358B0"/>
    <w:rsid w:val="00F745AE"/>
    <w:rsid w:val="00FC11AE"/>
    <w:rsid w:val="00FD0F84"/>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C7151C-AEBE-4F86-8270-6B5A0BAC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0E"/>
  </w:style>
  <w:style w:type="paragraph" w:styleId="Footer">
    <w:name w:val="footer"/>
    <w:basedOn w:val="Normal"/>
    <w:link w:val="FooterChar"/>
    <w:uiPriority w:val="99"/>
    <w:unhideWhenUsed/>
    <w:rsid w:val="00D6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00E"/>
  </w:style>
  <w:style w:type="paragraph" w:styleId="ListParagraph">
    <w:name w:val="List Paragraph"/>
    <w:basedOn w:val="Normal"/>
    <w:uiPriority w:val="34"/>
    <w:qFormat/>
    <w:rsid w:val="00D6000E"/>
    <w:pPr>
      <w:ind w:left="720"/>
      <w:contextualSpacing/>
    </w:pPr>
  </w:style>
  <w:style w:type="table" w:styleId="TableGrid">
    <w:name w:val="Table Grid"/>
    <w:basedOn w:val="TableNormal"/>
    <w:uiPriority w:val="39"/>
    <w:rsid w:val="0015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30BD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30BD1"/>
    <w:rPr>
      <w:color w:val="0000FF"/>
      <w:u w:val="single"/>
    </w:rPr>
  </w:style>
  <w:style w:type="paragraph" w:styleId="BalloonText">
    <w:name w:val="Balloon Text"/>
    <w:basedOn w:val="Normal"/>
    <w:link w:val="BalloonTextChar"/>
    <w:uiPriority w:val="99"/>
    <w:semiHidden/>
    <w:unhideWhenUsed/>
    <w:rsid w:val="005D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6379">
      <w:bodyDiv w:val="1"/>
      <w:marLeft w:val="0"/>
      <w:marRight w:val="0"/>
      <w:marTop w:val="0"/>
      <w:marBottom w:val="0"/>
      <w:divBdr>
        <w:top w:val="none" w:sz="0" w:space="0" w:color="auto"/>
        <w:left w:val="none" w:sz="0" w:space="0" w:color="auto"/>
        <w:bottom w:val="none" w:sz="0" w:space="0" w:color="auto"/>
        <w:right w:val="none" w:sz="0" w:space="0" w:color="auto"/>
      </w:divBdr>
      <w:divsChild>
        <w:div w:id="280382550">
          <w:marLeft w:val="0"/>
          <w:marRight w:val="0"/>
          <w:marTop w:val="120"/>
          <w:marBottom w:val="0"/>
          <w:divBdr>
            <w:top w:val="none" w:sz="0" w:space="0" w:color="auto"/>
            <w:left w:val="none" w:sz="0" w:space="0" w:color="auto"/>
            <w:bottom w:val="none" w:sz="0" w:space="0" w:color="auto"/>
            <w:right w:val="none" w:sz="0" w:space="0" w:color="auto"/>
          </w:divBdr>
          <w:divsChild>
            <w:div w:id="649796410">
              <w:marLeft w:val="0"/>
              <w:marRight w:val="0"/>
              <w:marTop w:val="0"/>
              <w:marBottom w:val="0"/>
              <w:divBdr>
                <w:top w:val="none" w:sz="0" w:space="0" w:color="auto"/>
                <w:left w:val="none" w:sz="0" w:space="0" w:color="auto"/>
                <w:bottom w:val="none" w:sz="0" w:space="0" w:color="auto"/>
                <w:right w:val="none" w:sz="0" w:space="0" w:color="auto"/>
              </w:divBdr>
            </w:div>
          </w:divsChild>
        </w:div>
        <w:div w:id="1478105684">
          <w:marLeft w:val="0"/>
          <w:marRight w:val="0"/>
          <w:marTop w:val="120"/>
          <w:marBottom w:val="0"/>
          <w:divBdr>
            <w:top w:val="none" w:sz="0" w:space="0" w:color="auto"/>
            <w:left w:val="none" w:sz="0" w:space="0" w:color="auto"/>
            <w:bottom w:val="none" w:sz="0" w:space="0" w:color="auto"/>
            <w:right w:val="none" w:sz="0" w:space="0" w:color="auto"/>
          </w:divBdr>
          <w:divsChild>
            <w:div w:id="468858679">
              <w:marLeft w:val="0"/>
              <w:marRight w:val="0"/>
              <w:marTop w:val="0"/>
              <w:marBottom w:val="0"/>
              <w:divBdr>
                <w:top w:val="none" w:sz="0" w:space="0" w:color="auto"/>
                <w:left w:val="none" w:sz="0" w:space="0" w:color="auto"/>
                <w:bottom w:val="none" w:sz="0" w:space="0" w:color="auto"/>
                <w:right w:val="none" w:sz="0" w:space="0" w:color="auto"/>
              </w:divBdr>
            </w:div>
            <w:div w:id="1233270103">
              <w:marLeft w:val="0"/>
              <w:marRight w:val="0"/>
              <w:marTop w:val="0"/>
              <w:marBottom w:val="0"/>
              <w:divBdr>
                <w:top w:val="none" w:sz="0" w:space="0" w:color="auto"/>
                <w:left w:val="none" w:sz="0" w:space="0" w:color="auto"/>
                <w:bottom w:val="none" w:sz="0" w:space="0" w:color="auto"/>
                <w:right w:val="none" w:sz="0" w:space="0" w:color="auto"/>
              </w:divBdr>
            </w:div>
          </w:divsChild>
        </w:div>
        <w:div w:id="1805537130">
          <w:marLeft w:val="0"/>
          <w:marRight w:val="0"/>
          <w:marTop w:val="120"/>
          <w:marBottom w:val="0"/>
          <w:divBdr>
            <w:top w:val="none" w:sz="0" w:space="0" w:color="auto"/>
            <w:left w:val="none" w:sz="0" w:space="0" w:color="auto"/>
            <w:bottom w:val="none" w:sz="0" w:space="0" w:color="auto"/>
            <w:right w:val="none" w:sz="0" w:space="0" w:color="auto"/>
          </w:divBdr>
          <w:divsChild>
            <w:div w:id="223108802">
              <w:marLeft w:val="0"/>
              <w:marRight w:val="0"/>
              <w:marTop w:val="0"/>
              <w:marBottom w:val="0"/>
              <w:divBdr>
                <w:top w:val="none" w:sz="0" w:space="0" w:color="auto"/>
                <w:left w:val="none" w:sz="0" w:space="0" w:color="auto"/>
                <w:bottom w:val="none" w:sz="0" w:space="0" w:color="auto"/>
                <w:right w:val="none" w:sz="0" w:space="0" w:color="auto"/>
              </w:divBdr>
            </w:div>
          </w:divsChild>
        </w:div>
        <w:div w:id="859776829">
          <w:marLeft w:val="0"/>
          <w:marRight w:val="0"/>
          <w:marTop w:val="120"/>
          <w:marBottom w:val="0"/>
          <w:divBdr>
            <w:top w:val="none" w:sz="0" w:space="0" w:color="auto"/>
            <w:left w:val="none" w:sz="0" w:space="0" w:color="auto"/>
            <w:bottom w:val="none" w:sz="0" w:space="0" w:color="auto"/>
            <w:right w:val="none" w:sz="0" w:space="0" w:color="auto"/>
          </w:divBdr>
          <w:divsChild>
            <w:div w:id="960502197">
              <w:marLeft w:val="0"/>
              <w:marRight w:val="0"/>
              <w:marTop w:val="0"/>
              <w:marBottom w:val="0"/>
              <w:divBdr>
                <w:top w:val="none" w:sz="0" w:space="0" w:color="auto"/>
                <w:left w:val="none" w:sz="0" w:space="0" w:color="auto"/>
                <w:bottom w:val="none" w:sz="0" w:space="0" w:color="auto"/>
                <w:right w:val="none" w:sz="0" w:space="0" w:color="auto"/>
              </w:divBdr>
            </w:div>
          </w:divsChild>
        </w:div>
        <w:div w:id="865169411">
          <w:marLeft w:val="0"/>
          <w:marRight w:val="0"/>
          <w:marTop w:val="120"/>
          <w:marBottom w:val="0"/>
          <w:divBdr>
            <w:top w:val="none" w:sz="0" w:space="0" w:color="auto"/>
            <w:left w:val="none" w:sz="0" w:space="0" w:color="auto"/>
            <w:bottom w:val="none" w:sz="0" w:space="0" w:color="auto"/>
            <w:right w:val="none" w:sz="0" w:space="0" w:color="auto"/>
          </w:divBdr>
          <w:divsChild>
            <w:div w:id="1428770429">
              <w:marLeft w:val="0"/>
              <w:marRight w:val="0"/>
              <w:marTop w:val="0"/>
              <w:marBottom w:val="0"/>
              <w:divBdr>
                <w:top w:val="none" w:sz="0" w:space="0" w:color="auto"/>
                <w:left w:val="none" w:sz="0" w:space="0" w:color="auto"/>
                <w:bottom w:val="none" w:sz="0" w:space="0" w:color="auto"/>
                <w:right w:val="none" w:sz="0" w:space="0" w:color="auto"/>
              </w:divBdr>
            </w:div>
            <w:div w:id="554513870">
              <w:marLeft w:val="0"/>
              <w:marRight w:val="0"/>
              <w:marTop w:val="0"/>
              <w:marBottom w:val="0"/>
              <w:divBdr>
                <w:top w:val="none" w:sz="0" w:space="0" w:color="auto"/>
                <w:left w:val="none" w:sz="0" w:space="0" w:color="auto"/>
                <w:bottom w:val="none" w:sz="0" w:space="0" w:color="auto"/>
                <w:right w:val="none" w:sz="0" w:space="0" w:color="auto"/>
              </w:divBdr>
            </w:div>
          </w:divsChild>
        </w:div>
        <w:div w:id="614025315">
          <w:marLeft w:val="0"/>
          <w:marRight w:val="0"/>
          <w:marTop w:val="120"/>
          <w:marBottom w:val="0"/>
          <w:divBdr>
            <w:top w:val="none" w:sz="0" w:space="0" w:color="auto"/>
            <w:left w:val="none" w:sz="0" w:space="0" w:color="auto"/>
            <w:bottom w:val="none" w:sz="0" w:space="0" w:color="auto"/>
            <w:right w:val="none" w:sz="0" w:space="0" w:color="auto"/>
          </w:divBdr>
          <w:divsChild>
            <w:div w:id="1370958084">
              <w:marLeft w:val="0"/>
              <w:marRight w:val="0"/>
              <w:marTop w:val="0"/>
              <w:marBottom w:val="0"/>
              <w:divBdr>
                <w:top w:val="none" w:sz="0" w:space="0" w:color="auto"/>
                <w:left w:val="none" w:sz="0" w:space="0" w:color="auto"/>
                <w:bottom w:val="none" w:sz="0" w:space="0" w:color="auto"/>
                <w:right w:val="none" w:sz="0" w:space="0" w:color="auto"/>
              </w:divBdr>
            </w:div>
          </w:divsChild>
        </w:div>
        <w:div w:id="59669415">
          <w:marLeft w:val="0"/>
          <w:marRight w:val="0"/>
          <w:marTop w:val="120"/>
          <w:marBottom w:val="0"/>
          <w:divBdr>
            <w:top w:val="none" w:sz="0" w:space="0" w:color="auto"/>
            <w:left w:val="none" w:sz="0" w:space="0" w:color="auto"/>
            <w:bottom w:val="none" w:sz="0" w:space="0" w:color="auto"/>
            <w:right w:val="none" w:sz="0" w:space="0" w:color="auto"/>
          </w:divBdr>
          <w:divsChild>
            <w:div w:id="382758493">
              <w:marLeft w:val="0"/>
              <w:marRight w:val="0"/>
              <w:marTop w:val="0"/>
              <w:marBottom w:val="0"/>
              <w:divBdr>
                <w:top w:val="none" w:sz="0" w:space="0" w:color="auto"/>
                <w:left w:val="none" w:sz="0" w:space="0" w:color="auto"/>
                <w:bottom w:val="none" w:sz="0" w:space="0" w:color="auto"/>
                <w:right w:val="none" w:sz="0" w:space="0" w:color="auto"/>
              </w:divBdr>
            </w:div>
          </w:divsChild>
        </w:div>
        <w:div w:id="1699426616">
          <w:marLeft w:val="0"/>
          <w:marRight w:val="0"/>
          <w:marTop w:val="120"/>
          <w:marBottom w:val="0"/>
          <w:divBdr>
            <w:top w:val="none" w:sz="0" w:space="0" w:color="auto"/>
            <w:left w:val="none" w:sz="0" w:space="0" w:color="auto"/>
            <w:bottom w:val="none" w:sz="0" w:space="0" w:color="auto"/>
            <w:right w:val="none" w:sz="0" w:space="0" w:color="auto"/>
          </w:divBdr>
          <w:divsChild>
            <w:div w:id="1904439530">
              <w:marLeft w:val="0"/>
              <w:marRight w:val="0"/>
              <w:marTop w:val="0"/>
              <w:marBottom w:val="0"/>
              <w:divBdr>
                <w:top w:val="none" w:sz="0" w:space="0" w:color="auto"/>
                <w:left w:val="none" w:sz="0" w:space="0" w:color="auto"/>
                <w:bottom w:val="none" w:sz="0" w:space="0" w:color="auto"/>
                <w:right w:val="none" w:sz="0" w:space="0" w:color="auto"/>
              </w:divBdr>
            </w:div>
          </w:divsChild>
        </w:div>
        <w:div w:id="1599168388">
          <w:marLeft w:val="0"/>
          <w:marRight w:val="0"/>
          <w:marTop w:val="120"/>
          <w:marBottom w:val="0"/>
          <w:divBdr>
            <w:top w:val="none" w:sz="0" w:space="0" w:color="auto"/>
            <w:left w:val="none" w:sz="0" w:space="0" w:color="auto"/>
            <w:bottom w:val="none" w:sz="0" w:space="0" w:color="auto"/>
            <w:right w:val="none" w:sz="0" w:space="0" w:color="auto"/>
          </w:divBdr>
          <w:divsChild>
            <w:div w:id="1322925079">
              <w:marLeft w:val="0"/>
              <w:marRight w:val="0"/>
              <w:marTop w:val="0"/>
              <w:marBottom w:val="0"/>
              <w:divBdr>
                <w:top w:val="none" w:sz="0" w:space="0" w:color="auto"/>
                <w:left w:val="none" w:sz="0" w:space="0" w:color="auto"/>
                <w:bottom w:val="none" w:sz="0" w:space="0" w:color="auto"/>
                <w:right w:val="none" w:sz="0" w:space="0" w:color="auto"/>
              </w:divBdr>
            </w:div>
          </w:divsChild>
        </w:div>
        <w:div w:id="1182665896">
          <w:marLeft w:val="0"/>
          <w:marRight w:val="0"/>
          <w:marTop w:val="120"/>
          <w:marBottom w:val="0"/>
          <w:divBdr>
            <w:top w:val="none" w:sz="0" w:space="0" w:color="auto"/>
            <w:left w:val="none" w:sz="0" w:space="0" w:color="auto"/>
            <w:bottom w:val="none" w:sz="0" w:space="0" w:color="auto"/>
            <w:right w:val="none" w:sz="0" w:space="0" w:color="auto"/>
          </w:divBdr>
          <w:divsChild>
            <w:div w:id="1843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4530">
      <w:bodyDiv w:val="1"/>
      <w:marLeft w:val="0"/>
      <w:marRight w:val="0"/>
      <w:marTop w:val="0"/>
      <w:marBottom w:val="0"/>
      <w:divBdr>
        <w:top w:val="none" w:sz="0" w:space="0" w:color="auto"/>
        <w:left w:val="none" w:sz="0" w:space="0" w:color="auto"/>
        <w:bottom w:val="none" w:sz="0" w:space="0" w:color="auto"/>
        <w:right w:val="none" w:sz="0" w:space="0" w:color="auto"/>
      </w:divBdr>
    </w:div>
    <w:div w:id="545725322">
      <w:bodyDiv w:val="1"/>
      <w:marLeft w:val="0"/>
      <w:marRight w:val="0"/>
      <w:marTop w:val="0"/>
      <w:marBottom w:val="0"/>
      <w:divBdr>
        <w:top w:val="none" w:sz="0" w:space="0" w:color="auto"/>
        <w:left w:val="none" w:sz="0" w:space="0" w:color="auto"/>
        <w:bottom w:val="none" w:sz="0" w:space="0" w:color="auto"/>
        <w:right w:val="none" w:sz="0" w:space="0" w:color="auto"/>
      </w:divBdr>
    </w:div>
    <w:div w:id="593516498">
      <w:bodyDiv w:val="1"/>
      <w:marLeft w:val="0"/>
      <w:marRight w:val="0"/>
      <w:marTop w:val="0"/>
      <w:marBottom w:val="0"/>
      <w:divBdr>
        <w:top w:val="none" w:sz="0" w:space="0" w:color="auto"/>
        <w:left w:val="none" w:sz="0" w:space="0" w:color="auto"/>
        <w:bottom w:val="none" w:sz="0" w:space="0" w:color="auto"/>
        <w:right w:val="none" w:sz="0" w:space="0" w:color="auto"/>
      </w:divBdr>
      <w:divsChild>
        <w:div w:id="699356193">
          <w:marLeft w:val="0"/>
          <w:marRight w:val="0"/>
          <w:marTop w:val="0"/>
          <w:marBottom w:val="0"/>
          <w:divBdr>
            <w:top w:val="none" w:sz="0" w:space="0" w:color="auto"/>
            <w:left w:val="none" w:sz="0" w:space="0" w:color="auto"/>
            <w:bottom w:val="none" w:sz="0" w:space="0" w:color="auto"/>
            <w:right w:val="none" w:sz="0" w:space="0" w:color="auto"/>
          </w:divBdr>
          <w:divsChild>
            <w:div w:id="20511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1810">
      <w:bodyDiv w:val="1"/>
      <w:marLeft w:val="0"/>
      <w:marRight w:val="0"/>
      <w:marTop w:val="0"/>
      <w:marBottom w:val="0"/>
      <w:divBdr>
        <w:top w:val="none" w:sz="0" w:space="0" w:color="auto"/>
        <w:left w:val="none" w:sz="0" w:space="0" w:color="auto"/>
        <w:bottom w:val="none" w:sz="0" w:space="0" w:color="auto"/>
        <w:right w:val="none" w:sz="0" w:space="0" w:color="auto"/>
      </w:divBdr>
    </w:div>
    <w:div w:id="863980785">
      <w:bodyDiv w:val="1"/>
      <w:marLeft w:val="0"/>
      <w:marRight w:val="0"/>
      <w:marTop w:val="0"/>
      <w:marBottom w:val="0"/>
      <w:divBdr>
        <w:top w:val="none" w:sz="0" w:space="0" w:color="auto"/>
        <w:left w:val="none" w:sz="0" w:space="0" w:color="auto"/>
        <w:bottom w:val="none" w:sz="0" w:space="0" w:color="auto"/>
        <w:right w:val="none" w:sz="0" w:space="0" w:color="auto"/>
      </w:divBdr>
    </w:div>
    <w:div w:id="958796569">
      <w:bodyDiv w:val="1"/>
      <w:marLeft w:val="0"/>
      <w:marRight w:val="0"/>
      <w:marTop w:val="0"/>
      <w:marBottom w:val="0"/>
      <w:divBdr>
        <w:top w:val="none" w:sz="0" w:space="0" w:color="auto"/>
        <w:left w:val="none" w:sz="0" w:space="0" w:color="auto"/>
        <w:bottom w:val="none" w:sz="0" w:space="0" w:color="auto"/>
        <w:right w:val="none" w:sz="0" w:space="0" w:color="auto"/>
      </w:divBdr>
    </w:div>
    <w:div w:id="991982555">
      <w:bodyDiv w:val="1"/>
      <w:marLeft w:val="0"/>
      <w:marRight w:val="0"/>
      <w:marTop w:val="0"/>
      <w:marBottom w:val="0"/>
      <w:divBdr>
        <w:top w:val="none" w:sz="0" w:space="0" w:color="auto"/>
        <w:left w:val="none" w:sz="0" w:space="0" w:color="auto"/>
        <w:bottom w:val="none" w:sz="0" w:space="0" w:color="auto"/>
        <w:right w:val="none" w:sz="0" w:space="0" w:color="auto"/>
      </w:divBdr>
    </w:div>
    <w:div w:id="1042097110">
      <w:bodyDiv w:val="1"/>
      <w:marLeft w:val="0"/>
      <w:marRight w:val="0"/>
      <w:marTop w:val="0"/>
      <w:marBottom w:val="0"/>
      <w:divBdr>
        <w:top w:val="none" w:sz="0" w:space="0" w:color="auto"/>
        <w:left w:val="none" w:sz="0" w:space="0" w:color="auto"/>
        <w:bottom w:val="none" w:sz="0" w:space="0" w:color="auto"/>
        <w:right w:val="none" w:sz="0" w:space="0" w:color="auto"/>
      </w:divBdr>
      <w:divsChild>
        <w:div w:id="11762698">
          <w:marLeft w:val="0"/>
          <w:marRight w:val="0"/>
          <w:marTop w:val="0"/>
          <w:marBottom w:val="0"/>
          <w:divBdr>
            <w:top w:val="none" w:sz="0" w:space="0" w:color="auto"/>
            <w:left w:val="none" w:sz="0" w:space="0" w:color="auto"/>
            <w:bottom w:val="none" w:sz="0" w:space="0" w:color="auto"/>
            <w:right w:val="none" w:sz="0" w:space="0" w:color="auto"/>
          </w:divBdr>
          <w:divsChild>
            <w:div w:id="9000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29280">
      <w:bodyDiv w:val="1"/>
      <w:marLeft w:val="0"/>
      <w:marRight w:val="0"/>
      <w:marTop w:val="0"/>
      <w:marBottom w:val="0"/>
      <w:divBdr>
        <w:top w:val="none" w:sz="0" w:space="0" w:color="auto"/>
        <w:left w:val="none" w:sz="0" w:space="0" w:color="auto"/>
        <w:bottom w:val="none" w:sz="0" w:space="0" w:color="auto"/>
        <w:right w:val="none" w:sz="0" w:space="0" w:color="auto"/>
      </w:divBdr>
    </w:div>
    <w:div w:id="1054550193">
      <w:bodyDiv w:val="1"/>
      <w:marLeft w:val="0"/>
      <w:marRight w:val="0"/>
      <w:marTop w:val="0"/>
      <w:marBottom w:val="0"/>
      <w:divBdr>
        <w:top w:val="none" w:sz="0" w:space="0" w:color="auto"/>
        <w:left w:val="none" w:sz="0" w:space="0" w:color="auto"/>
        <w:bottom w:val="none" w:sz="0" w:space="0" w:color="auto"/>
        <w:right w:val="none" w:sz="0" w:space="0" w:color="auto"/>
      </w:divBdr>
    </w:div>
    <w:div w:id="1114637120">
      <w:bodyDiv w:val="1"/>
      <w:marLeft w:val="0"/>
      <w:marRight w:val="0"/>
      <w:marTop w:val="0"/>
      <w:marBottom w:val="0"/>
      <w:divBdr>
        <w:top w:val="none" w:sz="0" w:space="0" w:color="auto"/>
        <w:left w:val="none" w:sz="0" w:space="0" w:color="auto"/>
        <w:bottom w:val="none" w:sz="0" w:space="0" w:color="auto"/>
        <w:right w:val="none" w:sz="0" w:space="0" w:color="auto"/>
      </w:divBdr>
    </w:div>
    <w:div w:id="1120806202">
      <w:bodyDiv w:val="1"/>
      <w:marLeft w:val="0"/>
      <w:marRight w:val="0"/>
      <w:marTop w:val="0"/>
      <w:marBottom w:val="0"/>
      <w:divBdr>
        <w:top w:val="none" w:sz="0" w:space="0" w:color="auto"/>
        <w:left w:val="none" w:sz="0" w:space="0" w:color="auto"/>
        <w:bottom w:val="none" w:sz="0" w:space="0" w:color="auto"/>
        <w:right w:val="none" w:sz="0" w:space="0" w:color="auto"/>
      </w:divBdr>
      <w:divsChild>
        <w:div w:id="811752616">
          <w:marLeft w:val="0"/>
          <w:marRight w:val="0"/>
          <w:marTop w:val="0"/>
          <w:marBottom w:val="0"/>
          <w:divBdr>
            <w:top w:val="none" w:sz="0" w:space="0" w:color="auto"/>
            <w:left w:val="none" w:sz="0" w:space="0" w:color="auto"/>
            <w:bottom w:val="none" w:sz="0" w:space="0" w:color="auto"/>
            <w:right w:val="none" w:sz="0" w:space="0" w:color="auto"/>
          </w:divBdr>
          <w:divsChild>
            <w:div w:id="19737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5422">
      <w:bodyDiv w:val="1"/>
      <w:marLeft w:val="0"/>
      <w:marRight w:val="0"/>
      <w:marTop w:val="0"/>
      <w:marBottom w:val="0"/>
      <w:divBdr>
        <w:top w:val="none" w:sz="0" w:space="0" w:color="auto"/>
        <w:left w:val="none" w:sz="0" w:space="0" w:color="auto"/>
        <w:bottom w:val="none" w:sz="0" w:space="0" w:color="auto"/>
        <w:right w:val="none" w:sz="0" w:space="0" w:color="auto"/>
      </w:divBdr>
    </w:div>
    <w:div w:id="1445273936">
      <w:bodyDiv w:val="1"/>
      <w:marLeft w:val="0"/>
      <w:marRight w:val="0"/>
      <w:marTop w:val="0"/>
      <w:marBottom w:val="0"/>
      <w:divBdr>
        <w:top w:val="none" w:sz="0" w:space="0" w:color="auto"/>
        <w:left w:val="none" w:sz="0" w:space="0" w:color="auto"/>
        <w:bottom w:val="none" w:sz="0" w:space="0" w:color="auto"/>
        <w:right w:val="none" w:sz="0" w:space="0" w:color="auto"/>
      </w:divBdr>
    </w:div>
    <w:div w:id="1929383555">
      <w:bodyDiv w:val="1"/>
      <w:marLeft w:val="0"/>
      <w:marRight w:val="0"/>
      <w:marTop w:val="0"/>
      <w:marBottom w:val="0"/>
      <w:divBdr>
        <w:top w:val="none" w:sz="0" w:space="0" w:color="auto"/>
        <w:left w:val="none" w:sz="0" w:space="0" w:color="auto"/>
        <w:bottom w:val="none" w:sz="0" w:space="0" w:color="auto"/>
        <w:right w:val="none" w:sz="0" w:space="0" w:color="auto"/>
      </w:divBdr>
    </w:div>
    <w:div w:id="21226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news.vn/tag/covid-19/147365/1.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O%20CAO%20QUY\2020\QIII.20\QuyIII_2020Bieu%20do%20TT%20chin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O%20CAO%20QUY\2020\QIII.20\QuyIII_2020Bieu%20do%20TT%20chin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XK</a:t>
            </a:r>
            <a:r>
              <a:rPr lang="en-US" sz="1100" baseline="0"/>
              <a:t> thủy sản chiếm 21-23% tổng XK nông lâm thủy sản của cả nước, 2015 - 2020 (triệu USD)</a:t>
            </a:r>
            <a:endParaRPr lang="en-US"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733899878368861"/>
          <c:y val="0.17904761904761904"/>
          <c:w val="0.64917666991914191"/>
          <c:h val="0.74456512935883012"/>
        </c:manualLayout>
      </c:layout>
      <c:bar3DChart>
        <c:barDir val="bar"/>
        <c:grouping val="clustered"/>
        <c:varyColors val="0"/>
        <c:ser>
          <c:idx val="0"/>
          <c:order val="0"/>
          <c:tx>
            <c:strRef>
              <c:f>Sheet1!$I$3</c:f>
              <c:strCache>
                <c:ptCount val="1"/>
                <c:pt idx="0">
                  <c:v>XKTS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Sheet1!$H$4:$H$9</c:f>
              <c:strCache>
                <c:ptCount val="6"/>
                <c:pt idx="0">
                  <c:v>2015</c:v>
                </c:pt>
                <c:pt idx="1">
                  <c:v>2016</c:v>
                </c:pt>
                <c:pt idx="2">
                  <c:v>2017</c:v>
                </c:pt>
                <c:pt idx="3">
                  <c:v>2018</c:v>
                </c:pt>
                <c:pt idx="4">
                  <c:v>2019</c:v>
                </c:pt>
                <c:pt idx="5">
                  <c:v>2020 (ước) </c:v>
                </c:pt>
              </c:strCache>
            </c:strRef>
          </c:cat>
          <c:val>
            <c:numRef>
              <c:f>Sheet1!$I$4:$I$9</c:f>
              <c:numCache>
                <c:formatCode>General</c:formatCode>
                <c:ptCount val="6"/>
                <c:pt idx="0">
                  <c:v>6.6</c:v>
                </c:pt>
                <c:pt idx="1">
                  <c:v>7</c:v>
                </c:pt>
                <c:pt idx="2">
                  <c:v>8.3000000000000007</c:v>
                </c:pt>
                <c:pt idx="3">
                  <c:v>8.8000000000000007</c:v>
                </c:pt>
                <c:pt idx="4">
                  <c:v>8.6</c:v>
                </c:pt>
                <c:pt idx="5">
                  <c:v>8.6</c:v>
                </c:pt>
              </c:numCache>
            </c:numRef>
          </c:val>
        </c:ser>
        <c:ser>
          <c:idx val="1"/>
          <c:order val="1"/>
          <c:tx>
            <c:strRef>
              <c:f>Sheet1!$J$3</c:f>
              <c:strCache>
                <c:ptCount val="1"/>
                <c:pt idx="0">
                  <c:v>XK nông lâm TS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Sheet1!$H$4:$H$9</c:f>
              <c:strCache>
                <c:ptCount val="6"/>
                <c:pt idx="0">
                  <c:v>2015</c:v>
                </c:pt>
                <c:pt idx="1">
                  <c:v>2016</c:v>
                </c:pt>
                <c:pt idx="2">
                  <c:v>2017</c:v>
                </c:pt>
                <c:pt idx="3">
                  <c:v>2018</c:v>
                </c:pt>
                <c:pt idx="4">
                  <c:v>2019</c:v>
                </c:pt>
                <c:pt idx="5">
                  <c:v>2020 (ước) </c:v>
                </c:pt>
              </c:strCache>
            </c:strRef>
          </c:cat>
          <c:val>
            <c:numRef>
              <c:f>Sheet1!$J$4:$J$9</c:f>
              <c:numCache>
                <c:formatCode>General</c:formatCode>
                <c:ptCount val="6"/>
                <c:pt idx="0">
                  <c:v>30.1</c:v>
                </c:pt>
                <c:pt idx="1">
                  <c:v>32.1</c:v>
                </c:pt>
                <c:pt idx="2">
                  <c:v>36.4</c:v>
                </c:pt>
                <c:pt idx="3">
                  <c:v>40</c:v>
                </c:pt>
                <c:pt idx="4">
                  <c:v>41.3</c:v>
                </c:pt>
                <c:pt idx="5">
                  <c:v>40</c:v>
                </c:pt>
              </c:numCache>
            </c:numRef>
          </c:val>
        </c:ser>
        <c:dLbls>
          <c:showLegendKey val="0"/>
          <c:showVal val="0"/>
          <c:showCatName val="0"/>
          <c:showSerName val="0"/>
          <c:showPercent val="0"/>
          <c:showBubbleSize val="0"/>
        </c:dLbls>
        <c:gapWidth val="150"/>
        <c:shape val="cylinder"/>
        <c:axId val="177066992"/>
        <c:axId val="177065424"/>
        <c:axId val="0"/>
      </c:bar3DChart>
      <c:catAx>
        <c:axId val="177066992"/>
        <c:scaling>
          <c:orientation val="minMax"/>
        </c:scaling>
        <c:delete val="0"/>
        <c:axPos val="l"/>
        <c:numFmt formatCode="General" sourceLinked="0"/>
        <c:majorTickMark val="out"/>
        <c:minorTickMark val="none"/>
        <c:tickLblPos val="nextTo"/>
        <c:crossAx val="177065424"/>
        <c:crosses val="autoZero"/>
        <c:auto val="1"/>
        <c:lblAlgn val="ctr"/>
        <c:lblOffset val="100"/>
        <c:noMultiLvlLbl val="0"/>
      </c:catAx>
      <c:valAx>
        <c:axId val="177065424"/>
        <c:scaling>
          <c:orientation val="minMax"/>
        </c:scaling>
        <c:delete val="0"/>
        <c:axPos val="b"/>
        <c:majorGridlines/>
        <c:numFmt formatCode="General" sourceLinked="1"/>
        <c:majorTickMark val="out"/>
        <c:minorTickMark val="none"/>
        <c:tickLblPos val="nextTo"/>
        <c:crossAx val="1770669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Cơ cấu sản phẩm thủy sản XK</a:t>
            </a:r>
          </a:p>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 năm 2020 (GT)</a:t>
            </a:r>
          </a:p>
        </c:rich>
      </c:tx>
      <c:overlay val="0"/>
      <c:spPr>
        <a:noFill/>
        <a:ln>
          <a:noFill/>
        </a:ln>
        <a:effectLst/>
      </c:spPr>
    </c:title>
    <c:autoTitleDeleted val="0"/>
    <c:view3D>
      <c:rotX val="50"/>
      <c:rotY val="2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733691825107228"/>
          <c:y val="0.2211398575178104"/>
          <c:w val="0.7298117918187057"/>
          <c:h val="0.7772021679108291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FF0000"/>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rgbClr val="002060"/>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dLbl>
              <c:idx val="7"/>
              <c:layout>
                <c:manualLayout>
                  <c:x val="6.4793547148069924E-2"/>
                  <c:y val="0.20914885639295094"/>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Sheet4!$A$4:$A$11</c:f>
              <c:strCache>
                <c:ptCount val="8"/>
                <c:pt idx="0">
                  <c:v>Tôm </c:v>
                </c:pt>
                <c:pt idx="1">
                  <c:v>Cá tra</c:v>
                </c:pt>
                <c:pt idx="2">
                  <c:v>Cá ngừ</c:v>
                </c:pt>
                <c:pt idx="3">
                  <c:v>Mực, BT</c:v>
                </c:pt>
                <c:pt idx="4">
                  <c:v>NTHMV</c:v>
                </c:pt>
                <c:pt idx="5">
                  <c:v>Cua, ghẹ</c:v>
                </c:pt>
                <c:pt idx="6">
                  <c:v>Surimi </c:v>
                </c:pt>
                <c:pt idx="7">
                  <c:v>Cá biển &amp; hải sản khác</c:v>
                </c:pt>
              </c:strCache>
            </c:strRef>
          </c:cat>
          <c:val>
            <c:numRef>
              <c:f>Sheet4!$B$4:$B$11</c:f>
              <c:numCache>
                <c:formatCode>General</c:formatCode>
                <c:ptCount val="8"/>
                <c:pt idx="0">
                  <c:v>38505</c:v>
                </c:pt>
                <c:pt idx="1">
                  <c:v>15436</c:v>
                </c:pt>
                <c:pt idx="2">
                  <c:v>6619</c:v>
                </c:pt>
                <c:pt idx="3">
                  <c:v>5651</c:v>
                </c:pt>
                <c:pt idx="4">
                  <c:v>974</c:v>
                </c:pt>
                <c:pt idx="5">
                  <c:v>1745</c:v>
                </c:pt>
                <c:pt idx="6">
                  <c:v>3226</c:v>
                </c:pt>
                <c:pt idx="7">
                  <c:v>13715</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900" b="1">
                <a:solidFill>
                  <a:sysClr val="windowText" lastClr="000000"/>
                </a:solidFill>
              </a:rPr>
              <a:t>Cơ cấu thị trường XK thủy sản của Việt Nam năm 2020 (GT) </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440464941882269"/>
          <c:y val="0.19194711772139603"/>
          <c:w val="0.84452403449568825"/>
          <c:h val="0.7045008262856034"/>
        </c:manualLayout>
      </c:layout>
      <c:pie3DChart>
        <c:varyColors val="1"/>
        <c:ser>
          <c:idx val="0"/>
          <c:order val="0"/>
          <c:explosion val="4"/>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Sheet4!$A$28:$A$37</c:f>
              <c:strCache>
                <c:ptCount val="10"/>
                <c:pt idx="0">
                  <c:v>Nhật Bản</c:v>
                </c:pt>
                <c:pt idx="1">
                  <c:v>Mỹ</c:v>
                </c:pt>
                <c:pt idx="2">
                  <c:v>Trung Quốc</c:v>
                </c:pt>
                <c:pt idx="3">
                  <c:v>EU</c:v>
                </c:pt>
                <c:pt idx="4">
                  <c:v>Hàn Quốc</c:v>
                </c:pt>
                <c:pt idx="5">
                  <c:v>ASEAN </c:v>
                </c:pt>
                <c:pt idx="6">
                  <c:v>Canada</c:v>
                </c:pt>
                <c:pt idx="7">
                  <c:v>Australia</c:v>
                </c:pt>
                <c:pt idx="8">
                  <c:v>Nga</c:v>
                </c:pt>
                <c:pt idx="9">
                  <c:v>Các TT khác</c:v>
                </c:pt>
              </c:strCache>
            </c:strRef>
          </c:cat>
          <c:val>
            <c:numRef>
              <c:f>Sheet4!$B$28:$B$37</c:f>
              <c:numCache>
                <c:formatCode>General</c:formatCode>
                <c:ptCount val="10"/>
                <c:pt idx="0">
                  <c:v>14182</c:v>
                </c:pt>
                <c:pt idx="1">
                  <c:v>16656</c:v>
                </c:pt>
                <c:pt idx="2">
                  <c:v>14881</c:v>
                </c:pt>
                <c:pt idx="3">
                  <c:v>9912</c:v>
                </c:pt>
                <c:pt idx="4">
                  <c:v>7704</c:v>
                </c:pt>
                <c:pt idx="5">
                  <c:v>5675</c:v>
                </c:pt>
                <c:pt idx="6">
                  <c:v>2643</c:v>
                </c:pt>
                <c:pt idx="7">
                  <c:v>2187</c:v>
                </c:pt>
                <c:pt idx="8">
                  <c:v>1439</c:v>
                </c:pt>
                <c:pt idx="9">
                  <c:v>10607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12</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báo cáo Xuất khẩu Thủy sản Việt Nam năm 2015 - 2020</vt:lpstr>
    </vt:vector>
  </TitlesOfParts>
  <Company>Microsoft</Company>
  <LinksUpToDate>false</LinksUpToDate>
  <CharactersWithSpaces>27777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Xuất khẩu Thủy sản Việt Nam năm 2015 - 2020</dc:title>
  <dc:creator>AutoBVT</dc:creator>
  <cp:lastModifiedBy>AutoBVT</cp:lastModifiedBy>
  <cp:revision>11</cp:revision>
  <dcterms:created xsi:type="dcterms:W3CDTF">2020-12-13T13:44:00Z</dcterms:created>
  <dcterms:modified xsi:type="dcterms:W3CDTF">2020-12-24T05:05:00Z</dcterms:modified>
</cp:coreProperties>
</file>